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06F41" w14:textId="497AD759" w:rsidR="00420C8B" w:rsidRDefault="00DD7228" w:rsidP="004A60BB">
      <w:pPr>
        <w:pBdr>
          <w:bottom w:val="single" w:sz="12" w:space="1" w:color="auto"/>
        </w:pBdr>
        <w:rPr>
          <w:rFonts w:asciiTheme="majorHAnsi" w:hAnsiTheme="majorHAnsi" w:cstheme="majorHAnsi"/>
          <w:b/>
        </w:rPr>
      </w:pPr>
      <w:bookmarkStart w:id="0" w:name="Start"/>
      <w:bookmarkStart w:id="1" w:name="GåTill"/>
      <w:bookmarkStart w:id="2" w:name="_Hlk73109355"/>
      <w:bookmarkEnd w:id="0"/>
      <w:bookmarkEnd w:id="1"/>
      <w:r w:rsidRPr="00D64216">
        <w:rPr>
          <w:rFonts w:asciiTheme="majorHAnsi" w:hAnsiTheme="majorHAnsi" w:cstheme="majorHAnsi"/>
          <w:b/>
        </w:rPr>
        <w:t>Styrelsens för Oxcia AB (publ)</w:t>
      </w:r>
      <w:bookmarkEnd w:id="2"/>
      <w:r w:rsidRPr="00D64216">
        <w:rPr>
          <w:rFonts w:asciiTheme="majorHAnsi" w:hAnsiTheme="majorHAnsi" w:cstheme="majorHAnsi"/>
          <w:b/>
        </w:rPr>
        <w:t xml:space="preserve">, org.nr </w:t>
      </w:r>
      <w:bookmarkStart w:id="3" w:name="_Hlk73109372"/>
      <w:bookmarkStart w:id="4" w:name="_Hlk62648410"/>
      <w:bookmarkStart w:id="5" w:name="_Hlk98147447"/>
      <w:r w:rsidRPr="00D64216">
        <w:rPr>
          <w:rFonts w:asciiTheme="majorHAnsi" w:hAnsiTheme="majorHAnsi" w:cstheme="majorHAnsi"/>
          <w:b/>
        </w:rPr>
        <w:t>556</w:t>
      </w:r>
      <w:bookmarkEnd w:id="3"/>
      <w:bookmarkEnd w:id="4"/>
      <w:r w:rsidRPr="00D64216">
        <w:rPr>
          <w:rFonts w:asciiTheme="majorHAnsi" w:hAnsiTheme="majorHAnsi" w:cstheme="majorHAnsi"/>
          <w:b/>
        </w:rPr>
        <w:t>932-4717</w:t>
      </w:r>
      <w:bookmarkEnd w:id="5"/>
      <w:r w:rsidRPr="00D64216">
        <w:rPr>
          <w:rFonts w:asciiTheme="majorHAnsi" w:hAnsiTheme="majorHAnsi" w:cstheme="majorHAnsi"/>
          <w:b/>
        </w:rPr>
        <w:t>, (”Bolaget”) fullständiga förslag till</w:t>
      </w:r>
      <w:r w:rsidR="001D3FC1">
        <w:rPr>
          <w:rFonts w:asciiTheme="majorHAnsi" w:hAnsiTheme="majorHAnsi" w:cstheme="majorHAnsi"/>
          <w:b/>
        </w:rPr>
        <w:t xml:space="preserve"> beslut om </w:t>
      </w:r>
      <w:r w:rsidR="001D3FC1" w:rsidRPr="001D3FC1">
        <w:rPr>
          <w:rFonts w:asciiTheme="majorHAnsi" w:hAnsiTheme="majorHAnsi" w:cstheme="majorHAnsi"/>
          <w:b/>
        </w:rPr>
        <w:t>inrättande av incitamentsprogram genom emission av teckningsoptioner av serie P 2022/</w:t>
      </w:r>
      <w:r w:rsidR="00541CC4">
        <w:rPr>
          <w:rFonts w:asciiTheme="majorHAnsi" w:hAnsiTheme="majorHAnsi" w:cstheme="majorHAnsi"/>
          <w:b/>
        </w:rPr>
        <w:t>20</w:t>
      </w:r>
      <w:r w:rsidR="001D3FC1" w:rsidRPr="001D3FC1">
        <w:rPr>
          <w:rFonts w:asciiTheme="majorHAnsi" w:hAnsiTheme="majorHAnsi" w:cstheme="majorHAnsi"/>
          <w:b/>
        </w:rPr>
        <w:t xml:space="preserve">25 för anställda m.fl. samt beslut om </w:t>
      </w:r>
      <w:proofErr w:type="spellStart"/>
      <w:r w:rsidR="001D3FC1" w:rsidRPr="001D3FC1">
        <w:rPr>
          <w:rFonts w:asciiTheme="majorHAnsi" w:hAnsiTheme="majorHAnsi" w:cstheme="majorHAnsi"/>
          <w:b/>
        </w:rPr>
        <w:t>stay</w:t>
      </w:r>
      <w:proofErr w:type="spellEnd"/>
      <w:r w:rsidR="001D3FC1" w:rsidRPr="001D3FC1">
        <w:rPr>
          <w:rFonts w:asciiTheme="majorHAnsi" w:hAnsiTheme="majorHAnsi" w:cstheme="majorHAnsi"/>
          <w:b/>
        </w:rPr>
        <w:t>-on bonus</w:t>
      </w:r>
    </w:p>
    <w:p w14:paraId="22B90AF9" w14:textId="77777777" w:rsidR="001D3FC1" w:rsidRDefault="001D3FC1" w:rsidP="00DD7228">
      <w:pPr>
        <w:spacing w:before="0"/>
        <w:rPr>
          <w:rFonts w:asciiTheme="majorHAnsi" w:hAnsiTheme="majorHAnsi" w:cstheme="majorHAnsi"/>
          <w:bCs/>
        </w:rPr>
      </w:pPr>
    </w:p>
    <w:p w14:paraId="2FE6BDB0" w14:textId="3590FD9C" w:rsidR="00DD7228" w:rsidRPr="00D141A5" w:rsidRDefault="00DD7228" w:rsidP="00DD7228">
      <w:pPr>
        <w:spacing w:before="0"/>
        <w:rPr>
          <w:rFonts w:asciiTheme="majorHAnsi" w:hAnsiTheme="majorHAnsi" w:cstheme="majorHAnsi"/>
          <w:bCs/>
        </w:rPr>
      </w:pPr>
      <w:r w:rsidRPr="00174DA2">
        <w:rPr>
          <w:rFonts w:asciiTheme="majorHAnsi" w:hAnsiTheme="majorHAnsi" w:cstheme="majorHAnsi"/>
          <w:bCs/>
        </w:rPr>
        <w:t>Styrelsen föreslår att bolagsstämman beslutar att inrätta ett teckningsoptionsbaserat långsiktigt incitamentsprogram genom emission av teckningsoptioner av serie P 2022/2025</w:t>
      </w:r>
      <w:r>
        <w:rPr>
          <w:rFonts w:asciiTheme="majorHAnsi" w:hAnsiTheme="majorHAnsi" w:cstheme="majorHAnsi"/>
          <w:bCs/>
        </w:rPr>
        <w:t xml:space="preserve"> </w:t>
      </w:r>
      <w:r w:rsidRPr="00174DA2">
        <w:rPr>
          <w:rFonts w:asciiTheme="majorHAnsi" w:hAnsiTheme="majorHAnsi" w:cstheme="majorHAnsi"/>
          <w:bCs/>
        </w:rPr>
        <w:t>(”</w:t>
      </w:r>
      <w:r w:rsidRPr="00174DA2">
        <w:rPr>
          <w:rFonts w:asciiTheme="majorHAnsi" w:hAnsiTheme="majorHAnsi" w:cstheme="majorHAnsi"/>
          <w:b/>
        </w:rPr>
        <w:t>Incitamentsprogram P 2022/2025</w:t>
      </w:r>
      <w:r w:rsidRPr="00174DA2">
        <w:rPr>
          <w:rFonts w:asciiTheme="majorHAnsi" w:hAnsiTheme="majorHAnsi" w:cstheme="majorHAnsi"/>
          <w:bCs/>
        </w:rPr>
        <w:t>”)</w:t>
      </w:r>
      <w:r>
        <w:rPr>
          <w:rFonts w:asciiTheme="majorHAnsi" w:hAnsiTheme="majorHAnsi" w:cstheme="majorHAnsi"/>
          <w:bCs/>
        </w:rPr>
        <w:t xml:space="preserve"> </w:t>
      </w:r>
      <w:r w:rsidRPr="00174DA2">
        <w:rPr>
          <w:rFonts w:asciiTheme="majorHAnsi" w:hAnsiTheme="majorHAnsi" w:cstheme="majorHAnsi"/>
          <w:bCs/>
        </w:rPr>
        <w:t xml:space="preserve">och </w:t>
      </w:r>
      <w:r w:rsidRPr="00174DA2">
        <w:rPr>
          <w:rFonts w:asciiTheme="majorHAnsi" w:eastAsia="Georgia" w:hAnsiTheme="majorHAnsi" w:cstheme="majorHAnsi"/>
          <w:color w:val="000000"/>
          <w:kern w:val="1"/>
        </w:rPr>
        <w:t xml:space="preserve">erläggande av </w:t>
      </w:r>
      <w:proofErr w:type="spellStart"/>
      <w:r w:rsidRPr="00174DA2">
        <w:rPr>
          <w:rFonts w:asciiTheme="majorHAnsi" w:eastAsia="Georgia" w:hAnsiTheme="majorHAnsi" w:cstheme="majorHAnsi"/>
          <w:color w:val="000000"/>
          <w:kern w:val="1"/>
        </w:rPr>
        <w:t>stay</w:t>
      </w:r>
      <w:proofErr w:type="spellEnd"/>
      <w:r w:rsidRPr="00174DA2">
        <w:rPr>
          <w:rFonts w:asciiTheme="majorHAnsi" w:eastAsia="Georgia" w:hAnsiTheme="majorHAnsi" w:cstheme="majorHAnsi"/>
          <w:color w:val="000000"/>
          <w:kern w:val="1"/>
        </w:rPr>
        <w:t xml:space="preserve">-on bonus </w:t>
      </w:r>
      <w:r w:rsidRPr="00174DA2">
        <w:rPr>
          <w:rFonts w:asciiTheme="majorHAnsi" w:hAnsiTheme="majorHAnsi" w:cstheme="majorHAnsi"/>
          <w:bCs/>
        </w:rPr>
        <w:t>till vissa medarbetare i</w:t>
      </w:r>
      <w:r w:rsidR="00340DC2">
        <w:rPr>
          <w:rFonts w:asciiTheme="majorHAnsi" w:hAnsiTheme="majorHAnsi" w:cstheme="majorHAnsi"/>
          <w:bCs/>
        </w:rPr>
        <w:t xml:space="preserve"> Bolaget </w:t>
      </w:r>
      <w:r w:rsidRPr="00174DA2">
        <w:rPr>
          <w:rFonts w:asciiTheme="majorHAnsi" w:hAnsiTheme="majorHAnsi" w:cstheme="majorHAnsi"/>
          <w:bCs/>
        </w:rPr>
        <w:t>på nedanstående villkor.</w:t>
      </w:r>
    </w:p>
    <w:p w14:paraId="4207CA80" w14:textId="77777777" w:rsidR="00DD7228" w:rsidRPr="00D141A5" w:rsidRDefault="00DD7228" w:rsidP="00DD7228">
      <w:pPr>
        <w:spacing w:before="0"/>
        <w:rPr>
          <w:rFonts w:asciiTheme="majorHAnsi" w:hAnsiTheme="majorHAnsi" w:cstheme="majorHAnsi"/>
          <w:bCs/>
        </w:rPr>
      </w:pPr>
    </w:p>
    <w:p w14:paraId="3FF067DE" w14:textId="77777777" w:rsidR="00DD7228" w:rsidRPr="001B4300" w:rsidRDefault="00DD7228" w:rsidP="00DD7228">
      <w:pPr>
        <w:spacing w:before="0"/>
        <w:rPr>
          <w:rFonts w:asciiTheme="majorHAnsi" w:hAnsiTheme="majorHAnsi" w:cstheme="majorHAnsi"/>
          <w:b/>
        </w:rPr>
      </w:pPr>
      <w:r w:rsidRPr="001B4300">
        <w:rPr>
          <w:rFonts w:asciiTheme="majorHAnsi" w:hAnsiTheme="majorHAnsi" w:cstheme="majorHAnsi"/>
          <w:b/>
        </w:rPr>
        <w:t>Bakgrund</w:t>
      </w:r>
    </w:p>
    <w:p w14:paraId="04CD818D" w14:textId="77777777" w:rsidR="00DD7228" w:rsidRDefault="00DD7228" w:rsidP="00DD7228">
      <w:pPr>
        <w:spacing w:before="0"/>
        <w:rPr>
          <w:rFonts w:asciiTheme="majorHAnsi" w:hAnsiTheme="majorHAnsi" w:cstheme="majorHAnsi"/>
          <w:bCs/>
        </w:rPr>
      </w:pPr>
      <w:r w:rsidRPr="00D141A5">
        <w:rPr>
          <w:rFonts w:asciiTheme="majorHAnsi" w:hAnsiTheme="majorHAnsi" w:cstheme="majorHAnsi"/>
          <w:bCs/>
        </w:rPr>
        <w:t xml:space="preserve">Styrelsen anser att det är angeläget och i alla aktieägares intresse att </w:t>
      </w:r>
      <w:r>
        <w:rPr>
          <w:rFonts w:asciiTheme="majorHAnsi" w:hAnsiTheme="majorHAnsi" w:cstheme="majorHAnsi"/>
          <w:bCs/>
        </w:rPr>
        <w:t>B</w:t>
      </w:r>
      <w:r w:rsidRPr="00D141A5">
        <w:rPr>
          <w:rFonts w:asciiTheme="majorHAnsi" w:hAnsiTheme="majorHAnsi" w:cstheme="majorHAnsi"/>
          <w:bCs/>
        </w:rPr>
        <w:t>olagets ledning och övriga nyckelpersoner</w:t>
      </w:r>
      <w:r>
        <w:rPr>
          <w:rFonts w:asciiTheme="majorHAnsi" w:hAnsiTheme="majorHAnsi" w:cstheme="majorHAnsi"/>
          <w:bCs/>
        </w:rPr>
        <w:t xml:space="preserve">, </w:t>
      </w:r>
      <w:r w:rsidRPr="00D141A5">
        <w:rPr>
          <w:rFonts w:asciiTheme="majorHAnsi" w:hAnsiTheme="majorHAnsi" w:cstheme="majorHAnsi"/>
          <w:bCs/>
        </w:rPr>
        <w:t xml:space="preserve">vilka bedömts vara viktiga för Bolagets vidare utveckling, har ett intresse av en </w:t>
      </w:r>
      <w:r>
        <w:rPr>
          <w:rFonts w:asciiTheme="majorHAnsi" w:hAnsiTheme="majorHAnsi" w:cstheme="majorHAnsi"/>
          <w:bCs/>
        </w:rPr>
        <w:t xml:space="preserve">långsiktigt </w:t>
      </w:r>
      <w:r w:rsidRPr="00D141A5">
        <w:rPr>
          <w:rFonts w:asciiTheme="majorHAnsi" w:hAnsiTheme="majorHAnsi" w:cstheme="majorHAnsi"/>
          <w:bCs/>
        </w:rPr>
        <w:t>god värdeutveckling på aktien i Bolaget. Ett personligt långsiktigt ägarengagemang kan förväntas bidra till ett ökat intresse för Bolagets verksamhet och resultatutveckling, samt höja deltagarnas motivation och samhörighet med Bolaget och dess aktieägare.</w:t>
      </w:r>
    </w:p>
    <w:p w14:paraId="5AEF9FCA" w14:textId="77777777" w:rsidR="00DD7228" w:rsidRDefault="00DD7228" w:rsidP="00DD7228">
      <w:pPr>
        <w:spacing w:before="0"/>
        <w:rPr>
          <w:rFonts w:asciiTheme="majorHAnsi" w:hAnsiTheme="majorHAnsi" w:cstheme="majorHAnsi"/>
          <w:bCs/>
        </w:rPr>
      </w:pPr>
    </w:p>
    <w:p w14:paraId="35D1F09C" w14:textId="77777777" w:rsidR="00DD7228" w:rsidRDefault="00DD7228" w:rsidP="00DD7228">
      <w:pPr>
        <w:spacing w:before="0"/>
      </w:pPr>
      <w:r>
        <w:t xml:space="preserve">Styrelsen avser att ha ett årligt återkommande </w:t>
      </w:r>
      <w:r w:rsidRPr="0046150E">
        <w:t>incitamentsprogram</w:t>
      </w:r>
      <w:r>
        <w:t>. Utvärdering kommer att göras efter det första året.</w:t>
      </w:r>
    </w:p>
    <w:p w14:paraId="52085D8C" w14:textId="77777777" w:rsidR="00DD7228" w:rsidRPr="00D141A5" w:rsidRDefault="00DD7228" w:rsidP="00DD7228">
      <w:pPr>
        <w:spacing w:before="0"/>
        <w:rPr>
          <w:rFonts w:asciiTheme="majorHAnsi" w:hAnsiTheme="majorHAnsi" w:cstheme="majorHAnsi"/>
          <w:bCs/>
        </w:rPr>
      </w:pPr>
      <w:r>
        <w:t xml:space="preserve"> </w:t>
      </w:r>
    </w:p>
    <w:p w14:paraId="25F9ABA3" w14:textId="77777777" w:rsidR="00DD7228" w:rsidRPr="008F4D5F" w:rsidRDefault="00DD7228" w:rsidP="00DD7228">
      <w:pPr>
        <w:spacing w:before="0"/>
        <w:rPr>
          <w:rFonts w:asciiTheme="majorHAnsi" w:hAnsiTheme="majorHAnsi" w:cstheme="majorHAnsi"/>
          <w:b/>
        </w:rPr>
      </w:pPr>
      <w:r>
        <w:rPr>
          <w:rFonts w:asciiTheme="majorHAnsi" w:hAnsiTheme="majorHAnsi" w:cstheme="majorHAnsi"/>
          <w:b/>
        </w:rPr>
        <w:t xml:space="preserve">A. </w:t>
      </w:r>
      <w:r w:rsidRPr="008F4D5F">
        <w:rPr>
          <w:rFonts w:asciiTheme="majorHAnsi" w:hAnsiTheme="majorHAnsi" w:cstheme="majorHAnsi"/>
          <w:b/>
        </w:rPr>
        <w:t xml:space="preserve">Emission av teckningsoptioner </w:t>
      </w:r>
    </w:p>
    <w:p w14:paraId="763A55A4" w14:textId="1959604A" w:rsidR="00DD7228" w:rsidRDefault="00DD7228" w:rsidP="00DD7228">
      <w:pPr>
        <w:spacing w:before="0"/>
        <w:rPr>
          <w:rFonts w:asciiTheme="majorHAnsi" w:hAnsiTheme="majorHAnsi" w:cstheme="majorHAnsi"/>
          <w:bCs/>
        </w:rPr>
      </w:pPr>
      <w:r w:rsidRPr="00D141A5">
        <w:rPr>
          <w:rFonts w:asciiTheme="majorHAnsi" w:hAnsiTheme="majorHAnsi" w:cstheme="majorHAnsi"/>
          <w:bCs/>
        </w:rPr>
        <w:t xml:space="preserve">Styrelsen föreslår att bolagsstämman beslutar om en riktad emission av högst </w:t>
      </w:r>
      <w:bookmarkStart w:id="6" w:name="_Hlk98165664"/>
      <w:r w:rsidRPr="00D141A5">
        <w:rPr>
          <w:rFonts w:asciiTheme="majorHAnsi" w:hAnsiTheme="majorHAnsi" w:cstheme="majorHAnsi"/>
          <w:bCs/>
        </w:rPr>
        <w:t>120 000</w:t>
      </w:r>
      <w:bookmarkEnd w:id="6"/>
      <w:r w:rsidRPr="00D141A5">
        <w:rPr>
          <w:rFonts w:asciiTheme="majorHAnsi" w:hAnsiTheme="majorHAnsi" w:cstheme="majorHAnsi"/>
          <w:bCs/>
        </w:rPr>
        <w:t xml:space="preserve"> teckningsoptioner av serie </w:t>
      </w:r>
      <w:r>
        <w:rPr>
          <w:rFonts w:asciiTheme="majorHAnsi" w:hAnsiTheme="majorHAnsi" w:cstheme="majorHAnsi"/>
          <w:bCs/>
        </w:rPr>
        <w:t xml:space="preserve">P </w:t>
      </w:r>
      <w:r w:rsidRPr="00D141A5">
        <w:rPr>
          <w:rFonts w:asciiTheme="majorHAnsi" w:hAnsiTheme="majorHAnsi" w:cstheme="majorHAnsi"/>
          <w:bCs/>
        </w:rPr>
        <w:t>2022/2025, innebärande en ökning av aktiekapitalet vid fullt utnyttjande med högst</w:t>
      </w:r>
      <w:r>
        <w:rPr>
          <w:rFonts w:asciiTheme="majorHAnsi" w:hAnsiTheme="majorHAnsi" w:cstheme="majorHAnsi"/>
          <w:bCs/>
        </w:rPr>
        <w:t xml:space="preserve"> </w:t>
      </w:r>
      <w:r w:rsidRPr="00D141A5">
        <w:rPr>
          <w:rFonts w:asciiTheme="majorHAnsi" w:hAnsiTheme="majorHAnsi" w:cstheme="majorHAnsi"/>
          <w:bCs/>
        </w:rPr>
        <w:t xml:space="preserve">3 600 kronor. </w:t>
      </w:r>
      <w:r>
        <w:rPr>
          <w:rFonts w:asciiTheme="majorHAnsi" w:hAnsiTheme="majorHAnsi" w:cstheme="majorHAnsi"/>
          <w:bCs/>
        </w:rPr>
        <w:t xml:space="preserve">Antalet teckningsoptioner samt ökning av aktiekapitalet är beräknade efter genomförd aktiesplit </w:t>
      </w:r>
      <w:bookmarkStart w:id="7" w:name="_Hlk98266881"/>
      <w:r>
        <w:rPr>
          <w:rFonts w:asciiTheme="majorHAnsi" w:hAnsiTheme="majorHAnsi" w:cstheme="majorHAnsi"/>
          <w:bCs/>
        </w:rPr>
        <w:t>enligt punkt 9 på dagordningen</w:t>
      </w:r>
      <w:r w:rsidR="000E4B58">
        <w:rPr>
          <w:rFonts w:asciiTheme="majorHAnsi" w:hAnsiTheme="majorHAnsi" w:cstheme="majorHAnsi"/>
          <w:bCs/>
        </w:rPr>
        <w:t xml:space="preserve"> i kallelsen</w:t>
      </w:r>
      <w:r w:rsidR="004C58E1">
        <w:rPr>
          <w:rFonts w:asciiTheme="majorHAnsi" w:hAnsiTheme="majorHAnsi" w:cstheme="majorHAnsi"/>
          <w:bCs/>
        </w:rPr>
        <w:t xml:space="preserve"> till stämman</w:t>
      </w:r>
      <w:bookmarkEnd w:id="7"/>
      <w:r>
        <w:rPr>
          <w:rFonts w:asciiTheme="majorHAnsi" w:hAnsiTheme="majorHAnsi" w:cstheme="majorHAnsi"/>
          <w:bCs/>
        </w:rPr>
        <w:t>. Överteckning kan inte ske.</w:t>
      </w:r>
    </w:p>
    <w:p w14:paraId="36F47515" w14:textId="77777777" w:rsidR="00DD7228" w:rsidRDefault="00DD7228" w:rsidP="00DD7228">
      <w:pPr>
        <w:spacing w:before="0"/>
        <w:rPr>
          <w:rFonts w:asciiTheme="majorHAnsi" w:hAnsiTheme="majorHAnsi" w:cstheme="majorHAnsi"/>
          <w:bCs/>
        </w:rPr>
      </w:pPr>
    </w:p>
    <w:p w14:paraId="5B3C6DE2" w14:textId="77777777" w:rsidR="00DD7228" w:rsidRDefault="00DD7228" w:rsidP="00DD7228">
      <w:pPr>
        <w:spacing w:before="0"/>
      </w:pPr>
      <w:r>
        <w:t>Rätt att teckna teckningsoptioner, med avvikelse från aktieägarnas företrädesrätt, ska tillkomma anställda och nyckelpersoner i Bolaget.</w:t>
      </w:r>
      <w:r w:rsidRPr="0095243B">
        <w:t xml:space="preserve"> </w:t>
      </w:r>
      <w:r w:rsidRPr="00B34A83">
        <w:t xml:space="preserve">Skälen till avvikelsen från aktieägarnas företrädesrätt är att införa ett incitamentsprogram varigenom </w:t>
      </w:r>
      <w:r>
        <w:t>medarbetare i Bolaget</w:t>
      </w:r>
      <w:r w:rsidRPr="00B34A83">
        <w:t xml:space="preserve"> genom egen investering ska ta del av och verka för en positiv värdeutveckling av Bolaget under hela den period som det föreslagna incitamentsprogrammet omfattar</w:t>
      </w:r>
      <w:r>
        <w:t>.</w:t>
      </w:r>
    </w:p>
    <w:p w14:paraId="38506D57" w14:textId="77777777" w:rsidR="00DD7228" w:rsidRDefault="00DD7228" w:rsidP="00DD7228">
      <w:pPr>
        <w:spacing w:before="0"/>
      </w:pPr>
    </w:p>
    <w:p w14:paraId="007F6E36" w14:textId="77777777" w:rsidR="00DD7228" w:rsidRPr="008F4D5F" w:rsidRDefault="00DD7228" w:rsidP="00DD7228">
      <w:pPr>
        <w:spacing w:before="0"/>
        <w:rPr>
          <w:rFonts w:asciiTheme="majorHAnsi" w:hAnsiTheme="majorHAnsi" w:cstheme="majorHAnsi"/>
          <w:bCs/>
          <w:i/>
          <w:iCs/>
        </w:rPr>
      </w:pPr>
      <w:r w:rsidRPr="008F4D5F">
        <w:rPr>
          <w:rFonts w:asciiTheme="majorHAnsi" w:hAnsiTheme="majorHAnsi" w:cstheme="majorHAnsi"/>
          <w:bCs/>
          <w:i/>
          <w:iCs/>
        </w:rPr>
        <w:t>Deltagare och tilldelning</w:t>
      </w:r>
    </w:p>
    <w:p w14:paraId="33B3CBA9" w14:textId="77777777" w:rsidR="00DD7228" w:rsidRPr="00D141A5" w:rsidRDefault="00DD7228" w:rsidP="00DD7228">
      <w:pPr>
        <w:spacing w:before="0"/>
        <w:rPr>
          <w:rFonts w:asciiTheme="majorHAnsi" w:hAnsiTheme="majorHAnsi" w:cstheme="majorHAnsi"/>
          <w:bCs/>
        </w:rPr>
      </w:pPr>
      <w:r w:rsidRPr="00D141A5">
        <w:rPr>
          <w:rFonts w:asciiTheme="majorHAnsi" w:hAnsiTheme="majorHAnsi" w:cstheme="majorHAnsi"/>
          <w:bCs/>
        </w:rPr>
        <w:t>Rätt att förvärva teckningsoptioner från Bolaget ska tillkomma följande kategorier av medarbetare i Bolaget eller dess dotterbolag.</w:t>
      </w:r>
    </w:p>
    <w:p w14:paraId="1398D529" w14:textId="77777777" w:rsidR="00DD7228" w:rsidRPr="00D141A5" w:rsidRDefault="00DD7228" w:rsidP="00DD7228">
      <w:pPr>
        <w:spacing w:before="0"/>
        <w:rPr>
          <w:rFonts w:asciiTheme="majorHAnsi" w:hAnsiTheme="majorHAnsi" w:cstheme="majorHAnsi"/>
          <w:bCs/>
        </w:rPr>
      </w:pPr>
    </w:p>
    <w:tbl>
      <w:tblPr>
        <w:tblW w:w="8640" w:type="dxa"/>
        <w:tblCellSpacing w:w="15" w:type="dxa"/>
        <w:tblCellMar>
          <w:top w:w="15" w:type="dxa"/>
          <w:left w:w="15" w:type="dxa"/>
          <w:bottom w:w="15" w:type="dxa"/>
          <w:right w:w="15" w:type="dxa"/>
        </w:tblCellMar>
        <w:tblLook w:val="04A0" w:firstRow="1" w:lastRow="0" w:firstColumn="1" w:lastColumn="0" w:noHBand="0" w:noVBand="1"/>
      </w:tblPr>
      <w:tblGrid>
        <w:gridCol w:w="3675"/>
        <w:gridCol w:w="2409"/>
        <w:gridCol w:w="2556"/>
      </w:tblGrid>
      <w:tr w:rsidR="00DD7228" w:rsidRPr="008F4D5F" w14:paraId="2D79B918" w14:textId="77777777" w:rsidTr="00097C78">
        <w:trPr>
          <w:tblCellSpacing w:w="15" w:type="dxa"/>
        </w:trPr>
        <w:tc>
          <w:tcPr>
            <w:tcW w:w="3630" w:type="dxa"/>
            <w:vAlign w:val="center"/>
            <w:hideMark/>
          </w:tcPr>
          <w:p w14:paraId="69363ECD" w14:textId="77777777" w:rsidR="00DD7228" w:rsidRPr="008F4D5F" w:rsidRDefault="00DD7228" w:rsidP="00097C78">
            <w:pPr>
              <w:spacing w:before="0"/>
              <w:rPr>
                <w:rFonts w:asciiTheme="majorHAnsi" w:hAnsiTheme="majorHAnsi" w:cstheme="majorHAnsi"/>
                <w:bCs/>
              </w:rPr>
            </w:pPr>
            <w:r w:rsidRPr="008F4D5F">
              <w:rPr>
                <w:rFonts w:asciiTheme="majorHAnsi" w:hAnsiTheme="majorHAnsi" w:cstheme="majorHAnsi"/>
                <w:bCs/>
              </w:rPr>
              <w:t>Kategori</w:t>
            </w:r>
          </w:p>
        </w:tc>
        <w:tc>
          <w:tcPr>
            <w:tcW w:w="2379" w:type="dxa"/>
            <w:vAlign w:val="center"/>
            <w:hideMark/>
          </w:tcPr>
          <w:p w14:paraId="611429CE" w14:textId="77777777" w:rsidR="00DD7228" w:rsidRPr="008F4D5F" w:rsidRDefault="00DD7228" w:rsidP="00097C78">
            <w:pPr>
              <w:spacing w:before="0"/>
              <w:rPr>
                <w:rFonts w:asciiTheme="majorHAnsi" w:hAnsiTheme="majorHAnsi" w:cstheme="majorHAnsi"/>
                <w:bCs/>
              </w:rPr>
            </w:pPr>
            <w:r w:rsidRPr="008F4D5F">
              <w:rPr>
                <w:rFonts w:asciiTheme="majorHAnsi" w:hAnsiTheme="majorHAnsi" w:cstheme="majorHAnsi"/>
                <w:bCs/>
              </w:rPr>
              <w:t>Antal optioner per kategori</w:t>
            </w:r>
          </w:p>
        </w:tc>
        <w:tc>
          <w:tcPr>
            <w:tcW w:w="2511" w:type="dxa"/>
            <w:vAlign w:val="center"/>
            <w:hideMark/>
          </w:tcPr>
          <w:p w14:paraId="5D94B893" w14:textId="77777777" w:rsidR="00DD7228" w:rsidRPr="008F4D5F" w:rsidRDefault="00DD7228" w:rsidP="00097C78">
            <w:pPr>
              <w:spacing w:before="0"/>
              <w:rPr>
                <w:rFonts w:asciiTheme="majorHAnsi" w:hAnsiTheme="majorHAnsi" w:cstheme="majorHAnsi"/>
                <w:bCs/>
              </w:rPr>
            </w:pPr>
            <w:r w:rsidRPr="008F4D5F">
              <w:rPr>
                <w:rFonts w:asciiTheme="majorHAnsi" w:hAnsiTheme="majorHAnsi" w:cstheme="majorHAnsi"/>
                <w:bCs/>
              </w:rPr>
              <w:t>Högsta antal optioner per person</w:t>
            </w:r>
          </w:p>
        </w:tc>
      </w:tr>
      <w:tr w:rsidR="00DD7228" w:rsidRPr="00867CBC" w14:paraId="43BACDBA" w14:textId="77777777" w:rsidTr="00097C78">
        <w:trPr>
          <w:tblCellSpacing w:w="15" w:type="dxa"/>
        </w:trPr>
        <w:tc>
          <w:tcPr>
            <w:tcW w:w="3630" w:type="dxa"/>
            <w:vAlign w:val="center"/>
            <w:hideMark/>
          </w:tcPr>
          <w:p w14:paraId="31BE9175" w14:textId="77777777" w:rsidR="00DD7228" w:rsidRPr="008F4D5F" w:rsidRDefault="00DD7228" w:rsidP="00097C78">
            <w:pPr>
              <w:spacing w:before="0"/>
              <w:rPr>
                <w:rFonts w:asciiTheme="majorHAnsi" w:hAnsiTheme="majorHAnsi" w:cstheme="majorHAnsi"/>
                <w:bCs/>
              </w:rPr>
            </w:pPr>
            <w:r w:rsidRPr="008F4D5F">
              <w:rPr>
                <w:rFonts w:asciiTheme="majorHAnsi" w:hAnsiTheme="majorHAnsi" w:cstheme="majorHAnsi"/>
                <w:bCs/>
              </w:rPr>
              <w:t>Anställda och andra nyckelpersoner</w:t>
            </w:r>
            <w:r w:rsidRPr="008F4D5F">
              <w:rPr>
                <w:rFonts w:asciiTheme="majorHAnsi" w:hAnsiTheme="majorHAnsi" w:cstheme="majorHAnsi"/>
                <w:bCs/>
              </w:rPr>
              <w:br/>
              <w:t>(högst 10 person</w:t>
            </w:r>
            <w:r>
              <w:rPr>
                <w:rFonts w:asciiTheme="majorHAnsi" w:hAnsiTheme="majorHAnsi" w:cstheme="majorHAnsi"/>
                <w:bCs/>
              </w:rPr>
              <w:t>er</w:t>
            </w:r>
            <w:r w:rsidRPr="008F4D5F">
              <w:rPr>
                <w:rFonts w:asciiTheme="majorHAnsi" w:hAnsiTheme="majorHAnsi" w:cstheme="majorHAnsi"/>
                <w:bCs/>
              </w:rPr>
              <w:t>)</w:t>
            </w:r>
          </w:p>
        </w:tc>
        <w:tc>
          <w:tcPr>
            <w:tcW w:w="2379" w:type="dxa"/>
            <w:vAlign w:val="center"/>
            <w:hideMark/>
          </w:tcPr>
          <w:p w14:paraId="76DEF0C5" w14:textId="77777777" w:rsidR="00DD7228" w:rsidRPr="008F4D5F" w:rsidRDefault="00DD7228" w:rsidP="00097C78">
            <w:pPr>
              <w:spacing w:before="0"/>
              <w:rPr>
                <w:rFonts w:asciiTheme="majorHAnsi" w:hAnsiTheme="majorHAnsi" w:cstheme="majorHAnsi"/>
                <w:bCs/>
              </w:rPr>
            </w:pPr>
            <w:r w:rsidRPr="008F4D5F">
              <w:rPr>
                <w:rFonts w:asciiTheme="majorHAnsi" w:hAnsiTheme="majorHAnsi" w:cstheme="majorHAnsi"/>
                <w:bCs/>
              </w:rPr>
              <w:t xml:space="preserve">120 000 </w:t>
            </w:r>
          </w:p>
        </w:tc>
        <w:tc>
          <w:tcPr>
            <w:tcW w:w="2511" w:type="dxa"/>
            <w:vAlign w:val="center"/>
            <w:hideMark/>
          </w:tcPr>
          <w:p w14:paraId="61C7A967" w14:textId="77777777" w:rsidR="00DD7228" w:rsidRPr="008F4D5F" w:rsidRDefault="00DD7228" w:rsidP="00097C78">
            <w:pPr>
              <w:spacing w:before="0"/>
              <w:rPr>
                <w:rFonts w:asciiTheme="majorHAnsi" w:hAnsiTheme="majorHAnsi" w:cstheme="majorHAnsi"/>
                <w:bCs/>
              </w:rPr>
            </w:pPr>
            <w:r w:rsidRPr="008F4D5F">
              <w:rPr>
                <w:rFonts w:asciiTheme="majorHAnsi" w:hAnsiTheme="majorHAnsi" w:cstheme="majorHAnsi"/>
                <w:bCs/>
              </w:rPr>
              <w:t>30 000</w:t>
            </w:r>
          </w:p>
        </w:tc>
      </w:tr>
      <w:tr w:rsidR="00DD7228" w:rsidRPr="00D141A5" w14:paraId="00FD576F" w14:textId="77777777" w:rsidTr="00097C78">
        <w:trPr>
          <w:tblCellSpacing w:w="15" w:type="dxa"/>
        </w:trPr>
        <w:tc>
          <w:tcPr>
            <w:tcW w:w="3630" w:type="dxa"/>
            <w:vAlign w:val="center"/>
          </w:tcPr>
          <w:p w14:paraId="70733554" w14:textId="77777777" w:rsidR="00DD7228" w:rsidRPr="00D141A5" w:rsidRDefault="00DD7228" w:rsidP="00097C78">
            <w:pPr>
              <w:spacing w:before="0"/>
              <w:rPr>
                <w:rFonts w:asciiTheme="majorHAnsi" w:hAnsiTheme="majorHAnsi" w:cstheme="majorHAnsi"/>
                <w:bCs/>
              </w:rPr>
            </w:pPr>
          </w:p>
        </w:tc>
        <w:tc>
          <w:tcPr>
            <w:tcW w:w="2379" w:type="dxa"/>
            <w:vAlign w:val="center"/>
          </w:tcPr>
          <w:p w14:paraId="0ED1D2C7" w14:textId="77777777" w:rsidR="00DD7228" w:rsidRPr="00D141A5" w:rsidRDefault="00DD7228" w:rsidP="00097C78">
            <w:pPr>
              <w:spacing w:before="0"/>
              <w:rPr>
                <w:rFonts w:asciiTheme="majorHAnsi" w:hAnsiTheme="majorHAnsi" w:cstheme="majorHAnsi"/>
                <w:bCs/>
              </w:rPr>
            </w:pPr>
          </w:p>
        </w:tc>
        <w:tc>
          <w:tcPr>
            <w:tcW w:w="2511" w:type="dxa"/>
            <w:vAlign w:val="center"/>
          </w:tcPr>
          <w:p w14:paraId="228FC821" w14:textId="77777777" w:rsidR="00DD7228" w:rsidRPr="00D141A5" w:rsidRDefault="00DD7228" w:rsidP="00097C78">
            <w:pPr>
              <w:spacing w:before="0"/>
              <w:rPr>
                <w:rFonts w:asciiTheme="majorHAnsi" w:hAnsiTheme="majorHAnsi" w:cstheme="majorHAnsi"/>
                <w:bCs/>
              </w:rPr>
            </w:pPr>
          </w:p>
        </w:tc>
      </w:tr>
    </w:tbl>
    <w:p w14:paraId="120FEEB5" w14:textId="77777777" w:rsidR="00DD7228" w:rsidRPr="00D141A5" w:rsidRDefault="00DD7228" w:rsidP="00DD7228">
      <w:pPr>
        <w:spacing w:before="0"/>
        <w:rPr>
          <w:rFonts w:asciiTheme="majorHAnsi" w:hAnsiTheme="majorHAnsi" w:cstheme="majorHAnsi"/>
          <w:bCs/>
        </w:rPr>
      </w:pPr>
    </w:p>
    <w:p w14:paraId="08453DC5" w14:textId="77777777" w:rsidR="00DD7228" w:rsidRPr="008F4D5F" w:rsidRDefault="00DD7228" w:rsidP="00DD7228">
      <w:pPr>
        <w:spacing w:before="0"/>
        <w:rPr>
          <w:rFonts w:asciiTheme="majorHAnsi" w:hAnsiTheme="majorHAnsi" w:cstheme="majorHAnsi"/>
          <w:bCs/>
        </w:rPr>
      </w:pPr>
      <w:r w:rsidRPr="00D63BC8">
        <w:rPr>
          <w:rFonts w:cs="Calibri"/>
        </w:rPr>
        <w:t>Tilldelningen av antalet teckningsoptioner ska differentieras med hänvisning till ställning, ansvar och arbetsprestation i Bolaget</w:t>
      </w:r>
      <w:r>
        <w:rPr>
          <w:rFonts w:cs="Calibri"/>
        </w:rPr>
        <w:t xml:space="preserve">. </w:t>
      </w:r>
      <w:r w:rsidRPr="00D141A5">
        <w:rPr>
          <w:rFonts w:asciiTheme="majorHAnsi" w:eastAsia="Georgia" w:hAnsiTheme="majorHAnsi" w:cstheme="majorHAnsi"/>
          <w:color w:val="000000"/>
          <w:kern w:val="1"/>
        </w:rPr>
        <w:t xml:space="preserve">Högst 120 000 teckningsoptioner får maximalt tilldelas till denna grupp och ingen deltagare får erbjudas mer </w:t>
      </w:r>
      <w:r w:rsidRPr="008F4D5F">
        <w:rPr>
          <w:rFonts w:asciiTheme="majorHAnsi" w:eastAsia="Georgia" w:hAnsiTheme="majorHAnsi" w:cstheme="majorHAnsi"/>
          <w:color w:val="000000"/>
          <w:kern w:val="1"/>
        </w:rPr>
        <w:t>än 30 000</w:t>
      </w:r>
      <w:r w:rsidRPr="00D141A5">
        <w:rPr>
          <w:rFonts w:asciiTheme="majorHAnsi" w:eastAsia="Georgia" w:hAnsiTheme="majorHAnsi" w:cstheme="majorHAnsi"/>
          <w:color w:val="000000"/>
          <w:kern w:val="1"/>
        </w:rPr>
        <w:t xml:space="preserve"> teckningsoptioner.</w:t>
      </w:r>
      <w:r>
        <w:rPr>
          <w:rFonts w:asciiTheme="majorHAnsi" w:eastAsia="Georgia" w:hAnsiTheme="majorHAnsi" w:cstheme="majorHAnsi"/>
          <w:color w:val="000000"/>
          <w:kern w:val="1"/>
        </w:rPr>
        <w:t xml:space="preserve"> </w:t>
      </w:r>
      <w:r w:rsidRPr="00D141A5">
        <w:rPr>
          <w:rFonts w:asciiTheme="majorHAnsi" w:hAnsiTheme="majorHAnsi" w:cstheme="majorHAnsi"/>
          <w:bCs/>
        </w:rPr>
        <w:t>Om teckningsoptioner inom viss kategori kvarstår, efter att samtliga anmälningar inom kategorin tillgodosetts, ska resterande antal kunna tilldelas inom kategorin. Bolagets styrelse beslutar om slutlig tilldelning.</w:t>
      </w:r>
    </w:p>
    <w:p w14:paraId="635F6D64" w14:textId="77777777" w:rsidR="00DD7228" w:rsidRPr="00D141A5" w:rsidRDefault="00DD7228" w:rsidP="00DD7228">
      <w:pPr>
        <w:spacing w:before="0"/>
        <w:rPr>
          <w:rFonts w:asciiTheme="majorHAnsi" w:hAnsiTheme="majorHAnsi" w:cstheme="majorHAnsi"/>
          <w:bCs/>
        </w:rPr>
      </w:pPr>
    </w:p>
    <w:p w14:paraId="5EF48E13" w14:textId="77777777" w:rsidR="00DD7228" w:rsidRDefault="00DD7228" w:rsidP="00DD7228">
      <w:pPr>
        <w:spacing w:before="0"/>
        <w:rPr>
          <w:rFonts w:asciiTheme="majorHAnsi" w:hAnsiTheme="majorHAnsi" w:cstheme="majorHAnsi"/>
          <w:bCs/>
        </w:rPr>
      </w:pPr>
      <w:r w:rsidRPr="008F4D5F">
        <w:rPr>
          <w:rFonts w:cs="Calibri"/>
        </w:rPr>
        <w:lastRenderedPageBreak/>
        <w:t>Rätt att teckna teckningsoptioner ska endast tillkomma de personer som vid anmälningsperiodens utgång inte sagt upp sig eller blivit uppsagda och för icke anställda nyckelpersoner att deras avtalsförhållande med Bolaget kvarstår. De berättigade tecknare som utför uppdrag på konsultbasis via bolag ska äga rätt och skyldighet att teckna teckningsoptioner via sådant bolag.</w:t>
      </w:r>
      <w:r>
        <w:rPr>
          <w:rFonts w:cs="Calibri"/>
        </w:rPr>
        <w:t xml:space="preserve"> </w:t>
      </w:r>
      <w:r w:rsidRPr="00D141A5">
        <w:rPr>
          <w:rFonts w:asciiTheme="majorHAnsi" w:hAnsiTheme="majorHAnsi" w:cstheme="majorHAnsi"/>
          <w:bCs/>
        </w:rPr>
        <w:t>Överlåtelse till deltagare förutsätter dels att förvärv av teckningsoptionerna lagligen kan ske, dels att det enligt styrelsens bedömning kan ske till rimliga administrativa och ekonomiska insatser.</w:t>
      </w:r>
    </w:p>
    <w:p w14:paraId="66FB50E8" w14:textId="77777777" w:rsidR="00DD7228" w:rsidRDefault="00DD7228" w:rsidP="00DD7228">
      <w:pPr>
        <w:spacing w:before="0"/>
        <w:rPr>
          <w:rFonts w:asciiTheme="majorHAnsi" w:hAnsiTheme="majorHAnsi" w:cstheme="majorHAnsi"/>
          <w:bCs/>
        </w:rPr>
      </w:pPr>
    </w:p>
    <w:p w14:paraId="525BC499" w14:textId="77777777" w:rsidR="00DD7228" w:rsidRPr="008F4D5F" w:rsidRDefault="00DD7228" w:rsidP="00DD7228">
      <w:pPr>
        <w:spacing w:before="0"/>
        <w:rPr>
          <w:rFonts w:asciiTheme="majorHAnsi" w:hAnsiTheme="majorHAnsi" w:cstheme="majorHAnsi"/>
          <w:bCs/>
        </w:rPr>
      </w:pPr>
      <w:r w:rsidRPr="00D141A5">
        <w:rPr>
          <w:rFonts w:asciiTheme="majorHAnsi" w:hAnsiTheme="majorHAnsi" w:cstheme="majorHAnsi"/>
          <w:bCs/>
        </w:rPr>
        <w:t xml:space="preserve">En förutsättning för att tilldelas teckningsoptioner är att deltagaren undertecknat ett särskilt hembudsavtal med Bolaget. Hembudsavtalet innebär att teckningsoptionerna ska omfattas av en skyldighet för deltagare som önskar överlåta eller på annat sätt avyttra teckningsoptionerna till tredje man att först erbjuda Bolaget eller dess dotterbolag att förvärva teckningsoptionerna. Teckningsoptionerna ska även omfattas av en rätt för Bolaget eller dess dotterbolag att återköpa optionerna om en deltagares anställning i eller uppdrag för </w:t>
      </w:r>
      <w:r w:rsidR="00A65D0A">
        <w:rPr>
          <w:rFonts w:asciiTheme="majorHAnsi" w:hAnsiTheme="majorHAnsi" w:cstheme="majorHAnsi"/>
          <w:bCs/>
        </w:rPr>
        <w:t>B</w:t>
      </w:r>
      <w:r w:rsidRPr="00D141A5">
        <w:rPr>
          <w:rFonts w:asciiTheme="majorHAnsi" w:hAnsiTheme="majorHAnsi" w:cstheme="majorHAnsi"/>
          <w:bCs/>
        </w:rPr>
        <w:t>olaget upphör under programmets löptid.</w:t>
      </w:r>
    </w:p>
    <w:p w14:paraId="25920623" w14:textId="77777777" w:rsidR="00DD7228" w:rsidRPr="00D141A5" w:rsidRDefault="00DD7228" w:rsidP="00DD7228">
      <w:pPr>
        <w:spacing w:before="0"/>
        <w:rPr>
          <w:rFonts w:asciiTheme="majorHAnsi" w:hAnsiTheme="majorHAnsi" w:cstheme="majorHAnsi"/>
          <w:bCs/>
        </w:rPr>
      </w:pPr>
    </w:p>
    <w:p w14:paraId="6E023D69" w14:textId="77777777" w:rsidR="00DD7228" w:rsidRPr="0095243B" w:rsidRDefault="00DD7228" w:rsidP="00DD7228">
      <w:pPr>
        <w:spacing w:before="0"/>
        <w:rPr>
          <w:rFonts w:asciiTheme="majorHAnsi" w:hAnsiTheme="majorHAnsi" w:cstheme="majorHAnsi"/>
          <w:bCs/>
          <w:i/>
          <w:iCs/>
        </w:rPr>
      </w:pPr>
      <w:r w:rsidRPr="0095243B">
        <w:rPr>
          <w:rFonts w:asciiTheme="majorHAnsi" w:hAnsiTheme="majorHAnsi" w:cstheme="majorHAnsi"/>
          <w:bCs/>
          <w:i/>
          <w:iCs/>
        </w:rPr>
        <w:t>Teckningskurs</w:t>
      </w:r>
      <w:r>
        <w:rPr>
          <w:rFonts w:asciiTheme="majorHAnsi" w:hAnsiTheme="majorHAnsi" w:cstheme="majorHAnsi"/>
          <w:bCs/>
          <w:i/>
          <w:iCs/>
        </w:rPr>
        <w:t xml:space="preserve"> (optionspremie)</w:t>
      </w:r>
    </w:p>
    <w:p w14:paraId="66FAD709" w14:textId="031BBBA2" w:rsidR="00DD7228" w:rsidRPr="00D141A5" w:rsidRDefault="00DD7228" w:rsidP="00DD7228">
      <w:pPr>
        <w:spacing w:before="0"/>
        <w:rPr>
          <w:rFonts w:asciiTheme="majorHAnsi" w:hAnsiTheme="majorHAnsi" w:cstheme="majorHAnsi"/>
          <w:bCs/>
        </w:rPr>
      </w:pPr>
      <w:r w:rsidRPr="00D141A5">
        <w:rPr>
          <w:rFonts w:asciiTheme="majorHAnsi" w:hAnsiTheme="majorHAnsi" w:cstheme="majorHAnsi"/>
          <w:bCs/>
        </w:rPr>
        <w:t xml:space="preserve">Teckningsoptionerna ska överlåtas på marknadsmässiga villkor till ett pris (premie) som motsvarar ett beräknat marknadsvärde för teckningsoptionerna med tillämpning av en allmänt vedertagen värderingsmodell </w:t>
      </w:r>
      <w:r>
        <w:t xml:space="preserve">(Black &amp; Scholes-modellen) </w:t>
      </w:r>
      <w:r w:rsidRPr="00D141A5">
        <w:rPr>
          <w:rFonts w:asciiTheme="majorHAnsi" w:hAnsiTheme="majorHAnsi" w:cstheme="majorHAnsi"/>
          <w:bCs/>
        </w:rPr>
        <w:t xml:space="preserve">beräknat av ett oberoende värderingsinstitut. Sådan värdering ska ske med hjälp av </w:t>
      </w:r>
      <w:proofErr w:type="spellStart"/>
      <w:r w:rsidRPr="0095243B">
        <w:rPr>
          <w:rFonts w:asciiTheme="majorHAnsi" w:hAnsiTheme="majorHAnsi" w:cstheme="majorHAnsi"/>
          <w:bCs/>
        </w:rPr>
        <w:t>Mazars</w:t>
      </w:r>
      <w:proofErr w:type="spellEnd"/>
      <w:r w:rsidRPr="0095243B">
        <w:rPr>
          <w:rFonts w:asciiTheme="majorHAnsi" w:hAnsiTheme="majorHAnsi" w:cstheme="majorHAnsi"/>
          <w:bCs/>
        </w:rPr>
        <w:t xml:space="preserve"> Corporate Finance</w:t>
      </w:r>
      <w:r>
        <w:rPr>
          <w:rFonts w:asciiTheme="majorHAnsi" w:hAnsiTheme="majorHAnsi" w:cstheme="majorHAnsi"/>
          <w:bCs/>
        </w:rPr>
        <w:t xml:space="preserve"> och fastställas per dagen för stämman dvs </w:t>
      </w:r>
      <w:r w:rsidR="00EB2161">
        <w:rPr>
          <w:rFonts w:asciiTheme="majorHAnsi" w:hAnsiTheme="majorHAnsi" w:cstheme="majorHAnsi"/>
          <w:bCs/>
        </w:rPr>
        <w:t>1 april</w:t>
      </w:r>
      <w:r>
        <w:rPr>
          <w:rFonts w:asciiTheme="majorHAnsi" w:hAnsiTheme="majorHAnsi" w:cstheme="majorHAnsi"/>
          <w:bCs/>
        </w:rPr>
        <w:t xml:space="preserve"> 2022</w:t>
      </w:r>
      <w:r w:rsidRPr="0095243B">
        <w:rPr>
          <w:rFonts w:asciiTheme="majorHAnsi" w:hAnsiTheme="majorHAnsi" w:cstheme="majorHAnsi"/>
          <w:bCs/>
        </w:rPr>
        <w:t>.</w:t>
      </w:r>
      <w:r>
        <w:rPr>
          <w:rFonts w:asciiTheme="majorHAnsi" w:hAnsiTheme="majorHAnsi" w:cstheme="majorHAnsi"/>
          <w:bCs/>
        </w:rPr>
        <w:t xml:space="preserve"> Baserat på en preliminär värdering uppgår optionspremien till 2,88 kronor per option.</w:t>
      </w:r>
    </w:p>
    <w:p w14:paraId="401851B5" w14:textId="77777777" w:rsidR="00DD7228" w:rsidRPr="00D141A5" w:rsidRDefault="00DD7228" w:rsidP="00DD7228">
      <w:pPr>
        <w:spacing w:before="0"/>
        <w:rPr>
          <w:rFonts w:asciiTheme="majorHAnsi" w:hAnsiTheme="majorHAnsi" w:cstheme="majorHAnsi"/>
          <w:bCs/>
        </w:rPr>
      </w:pPr>
    </w:p>
    <w:p w14:paraId="000353A4" w14:textId="77777777" w:rsidR="00DD7228" w:rsidRPr="0095243B" w:rsidRDefault="00DD7228" w:rsidP="00DD7228">
      <w:pPr>
        <w:spacing w:before="0"/>
        <w:rPr>
          <w:rFonts w:asciiTheme="majorHAnsi" w:hAnsiTheme="majorHAnsi" w:cstheme="majorHAnsi"/>
          <w:bCs/>
          <w:i/>
          <w:iCs/>
        </w:rPr>
      </w:pPr>
      <w:r w:rsidRPr="0095243B">
        <w:rPr>
          <w:rFonts w:asciiTheme="majorHAnsi" w:hAnsiTheme="majorHAnsi" w:cstheme="majorHAnsi"/>
          <w:bCs/>
          <w:i/>
          <w:iCs/>
        </w:rPr>
        <w:t>Tid för teckning</w:t>
      </w:r>
      <w:r>
        <w:rPr>
          <w:rFonts w:asciiTheme="majorHAnsi" w:hAnsiTheme="majorHAnsi" w:cstheme="majorHAnsi"/>
          <w:bCs/>
          <w:i/>
          <w:iCs/>
        </w:rPr>
        <w:t xml:space="preserve"> av teckningsoptioner</w:t>
      </w:r>
    </w:p>
    <w:p w14:paraId="1AAC679D" w14:textId="6B15F4E6" w:rsidR="00DD7228" w:rsidRDefault="00DD7228" w:rsidP="00DD7228">
      <w:pPr>
        <w:spacing w:before="0"/>
        <w:rPr>
          <w:rFonts w:asciiTheme="majorHAnsi" w:hAnsiTheme="majorHAnsi" w:cstheme="majorHAnsi"/>
          <w:bCs/>
        </w:rPr>
      </w:pPr>
      <w:r w:rsidRPr="00D141A5">
        <w:rPr>
          <w:rFonts w:asciiTheme="majorHAnsi" w:hAnsiTheme="majorHAnsi" w:cstheme="majorHAnsi"/>
          <w:bCs/>
        </w:rPr>
        <w:t xml:space="preserve">Teckningsoptionerna ska tecknas på separat teckningslista </w:t>
      </w:r>
      <w:r w:rsidRPr="0095243B">
        <w:rPr>
          <w:rFonts w:asciiTheme="majorHAnsi" w:hAnsiTheme="majorHAnsi" w:cstheme="majorHAnsi"/>
          <w:bCs/>
        </w:rPr>
        <w:t xml:space="preserve">från och med den </w:t>
      </w:r>
      <w:r w:rsidR="000E4B58">
        <w:rPr>
          <w:rFonts w:asciiTheme="majorHAnsi" w:hAnsiTheme="majorHAnsi" w:cstheme="majorHAnsi"/>
          <w:bCs/>
        </w:rPr>
        <w:t>2</w:t>
      </w:r>
      <w:r w:rsidRPr="0095243B">
        <w:rPr>
          <w:rFonts w:asciiTheme="majorHAnsi" w:hAnsiTheme="majorHAnsi" w:cstheme="majorHAnsi"/>
          <w:bCs/>
        </w:rPr>
        <w:t xml:space="preserve"> </w:t>
      </w:r>
      <w:r w:rsidR="000E4B58">
        <w:rPr>
          <w:rFonts w:asciiTheme="majorHAnsi" w:hAnsiTheme="majorHAnsi" w:cstheme="majorHAnsi"/>
          <w:bCs/>
        </w:rPr>
        <w:t>april</w:t>
      </w:r>
      <w:r w:rsidRPr="0095243B">
        <w:rPr>
          <w:rFonts w:asciiTheme="majorHAnsi" w:hAnsiTheme="majorHAnsi" w:cstheme="majorHAnsi"/>
          <w:bCs/>
        </w:rPr>
        <w:t xml:space="preserve"> 202</w:t>
      </w:r>
      <w:r w:rsidR="000E4B58">
        <w:rPr>
          <w:rFonts w:asciiTheme="majorHAnsi" w:hAnsiTheme="majorHAnsi" w:cstheme="majorHAnsi"/>
          <w:bCs/>
        </w:rPr>
        <w:t>2</w:t>
      </w:r>
      <w:r w:rsidRPr="0095243B">
        <w:rPr>
          <w:rFonts w:asciiTheme="majorHAnsi" w:hAnsiTheme="majorHAnsi" w:cstheme="majorHAnsi"/>
          <w:bCs/>
        </w:rPr>
        <w:t xml:space="preserve"> till och med den 13 april 2022</w:t>
      </w:r>
      <w:r>
        <w:rPr>
          <w:rFonts w:asciiTheme="majorHAnsi" w:hAnsiTheme="majorHAnsi" w:cstheme="majorHAnsi"/>
          <w:bCs/>
        </w:rPr>
        <w:t xml:space="preserve">. </w:t>
      </w:r>
      <w:r w:rsidRPr="00D141A5">
        <w:rPr>
          <w:rFonts w:asciiTheme="majorHAnsi" w:hAnsiTheme="majorHAnsi" w:cstheme="majorHAnsi"/>
          <w:bCs/>
        </w:rPr>
        <w:t>Styrelsen ska äga rätt att förlänga teckningstiden.</w:t>
      </w:r>
    </w:p>
    <w:p w14:paraId="630FABE1" w14:textId="77777777" w:rsidR="00DD7228" w:rsidRDefault="00DD7228" w:rsidP="00DD7228">
      <w:pPr>
        <w:spacing w:before="0"/>
        <w:rPr>
          <w:rFonts w:asciiTheme="majorHAnsi" w:hAnsiTheme="majorHAnsi" w:cstheme="majorHAnsi"/>
          <w:bCs/>
        </w:rPr>
      </w:pPr>
    </w:p>
    <w:p w14:paraId="6B41C717" w14:textId="77777777" w:rsidR="00DD7228" w:rsidRPr="008F4D5F" w:rsidRDefault="00DD7228" w:rsidP="00DD7228">
      <w:pPr>
        <w:spacing w:before="0"/>
        <w:rPr>
          <w:rFonts w:asciiTheme="majorHAnsi" w:hAnsiTheme="majorHAnsi" w:cstheme="majorHAnsi"/>
          <w:bCs/>
          <w:i/>
          <w:iCs/>
        </w:rPr>
      </w:pPr>
      <w:r w:rsidRPr="008F4D5F">
        <w:rPr>
          <w:rFonts w:asciiTheme="majorHAnsi" w:hAnsiTheme="majorHAnsi" w:cstheme="majorHAnsi"/>
          <w:bCs/>
          <w:i/>
          <w:iCs/>
        </w:rPr>
        <w:t>Betalning</w:t>
      </w:r>
    </w:p>
    <w:p w14:paraId="557FB889" w14:textId="77777777" w:rsidR="00DD7228" w:rsidRDefault="00DD7228" w:rsidP="00DD7228">
      <w:pPr>
        <w:spacing w:before="0"/>
        <w:rPr>
          <w:rFonts w:asciiTheme="majorHAnsi" w:hAnsiTheme="majorHAnsi" w:cstheme="majorHAnsi"/>
          <w:bCs/>
        </w:rPr>
      </w:pPr>
      <w:bookmarkStart w:id="8" w:name="_Hlk98172570"/>
      <w:r w:rsidRPr="00D141A5">
        <w:rPr>
          <w:rFonts w:asciiTheme="majorHAnsi" w:hAnsiTheme="majorHAnsi" w:cstheme="majorHAnsi"/>
          <w:bCs/>
        </w:rPr>
        <w:t xml:space="preserve">Betalning för tilldelade teckningsoptioner ska ske med kontant vederlag senast </w:t>
      </w:r>
      <w:r>
        <w:rPr>
          <w:rFonts w:asciiTheme="majorHAnsi" w:hAnsiTheme="majorHAnsi" w:cstheme="majorHAnsi"/>
          <w:bCs/>
        </w:rPr>
        <w:t>29 april. Styrelsen ska äga rätt att förlänga betalningstiden.</w:t>
      </w:r>
    </w:p>
    <w:bookmarkEnd w:id="8"/>
    <w:p w14:paraId="1FD7514A" w14:textId="77777777" w:rsidR="00DD7228" w:rsidRPr="00D141A5" w:rsidRDefault="00DD7228" w:rsidP="00DD7228">
      <w:pPr>
        <w:spacing w:before="0"/>
        <w:rPr>
          <w:rFonts w:asciiTheme="majorHAnsi" w:hAnsiTheme="majorHAnsi" w:cstheme="majorHAnsi"/>
          <w:bCs/>
        </w:rPr>
      </w:pPr>
    </w:p>
    <w:p w14:paraId="22563E7B" w14:textId="77777777" w:rsidR="00DD7228" w:rsidRPr="001A2491" w:rsidRDefault="00DD7228" w:rsidP="00DD7228">
      <w:pPr>
        <w:spacing w:before="0"/>
        <w:rPr>
          <w:rFonts w:asciiTheme="majorHAnsi" w:hAnsiTheme="majorHAnsi" w:cstheme="majorHAnsi"/>
          <w:bCs/>
          <w:i/>
          <w:iCs/>
        </w:rPr>
      </w:pPr>
      <w:r>
        <w:rPr>
          <w:rFonts w:asciiTheme="majorHAnsi" w:hAnsiTheme="majorHAnsi" w:cstheme="majorHAnsi"/>
          <w:bCs/>
          <w:i/>
          <w:iCs/>
        </w:rPr>
        <w:t>Tid för u</w:t>
      </w:r>
      <w:r w:rsidRPr="001A2491">
        <w:rPr>
          <w:rFonts w:asciiTheme="majorHAnsi" w:hAnsiTheme="majorHAnsi" w:cstheme="majorHAnsi"/>
          <w:bCs/>
          <w:i/>
          <w:iCs/>
        </w:rPr>
        <w:t>tnyttjande av teckningsoptioner</w:t>
      </w:r>
    </w:p>
    <w:p w14:paraId="61A7A9CE" w14:textId="57B1F99E" w:rsidR="00DD7228" w:rsidRPr="00D141A5" w:rsidRDefault="00DD7228" w:rsidP="00DD7228">
      <w:pPr>
        <w:spacing w:before="0"/>
        <w:rPr>
          <w:rFonts w:asciiTheme="majorHAnsi" w:hAnsiTheme="majorHAnsi" w:cstheme="majorHAnsi"/>
          <w:bCs/>
        </w:rPr>
      </w:pPr>
      <w:r w:rsidRPr="00D141A5">
        <w:rPr>
          <w:rFonts w:asciiTheme="majorHAnsi" w:hAnsiTheme="majorHAnsi" w:cstheme="majorHAnsi"/>
          <w:bCs/>
        </w:rPr>
        <w:t>Varje teckningsoption berättigar till nyteckning av en (1) aktie</w:t>
      </w:r>
      <w:r w:rsidR="0073741B">
        <w:rPr>
          <w:rFonts w:asciiTheme="majorHAnsi" w:hAnsiTheme="majorHAnsi" w:cstheme="majorHAnsi"/>
          <w:bCs/>
        </w:rPr>
        <w:t xml:space="preserve"> av serie B</w:t>
      </w:r>
      <w:r w:rsidRPr="00D141A5">
        <w:rPr>
          <w:rFonts w:asciiTheme="majorHAnsi" w:hAnsiTheme="majorHAnsi" w:cstheme="majorHAnsi"/>
          <w:bCs/>
        </w:rPr>
        <w:t xml:space="preserve"> i Bolaget.</w:t>
      </w:r>
      <w:r w:rsidR="000E4B58">
        <w:rPr>
          <w:rFonts w:asciiTheme="majorHAnsi" w:hAnsiTheme="majorHAnsi" w:cstheme="majorHAnsi"/>
          <w:bCs/>
        </w:rPr>
        <w:t xml:space="preserve"> </w:t>
      </w:r>
      <w:r w:rsidRPr="00D141A5">
        <w:rPr>
          <w:rFonts w:asciiTheme="majorHAnsi" w:hAnsiTheme="majorHAnsi" w:cstheme="majorHAnsi"/>
          <w:bCs/>
        </w:rPr>
        <w:t xml:space="preserve">Teckningsoptionerna kan utnyttjas genom anmälan om teckning av nya </w:t>
      </w:r>
      <w:r w:rsidR="00B32BD0">
        <w:rPr>
          <w:rFonts w:asciiTheme="majorHAnsi" w:hAnsiTheme="majorHAnsi" w:cstheme="majorHAnsi"/>
          <w:bCs/>
        </w:rPr>
        <w:t>B-</w:t>
      </w:r>
      <w:r w:rsidRPr="001B4300">
        <w:rPr>
          <w:rFonts w:asciiTheme="majorHAnsi" w:hAnsiTheme="majorHAnsi" w:cstheme="majorHAnsi"/>
          <w:bCs/>
        </w:rPr>
        <w:t>aktier</w:t>
      </w:r>
      <w:r w:rsidR="00B32BD0">
        <w:rPr>
          <w:rFonts w:asciiTheme="majorHAnsi" w:hAnsiTheme="majorHAnsi" w:cstheme="majorHAnsi"/>
          <w:bCs/>
        </w:rPr>
        <w:t xml:space="preserve"> </w:t>
      </w:r>
      <w:r w:rsidRPr="001B4300">
        <w:rPr>
          <w:rFonts w:asciiTheme="majorHAnsi" w:hAnsiTheme="majorHAnsi" w:cstheme="majorHAnsi"/>
          <w:bCs/>
        </w:rPr>
        <w:t>under perioden från och med den 15 maj 2025 till och med den 14 juni 2025.</w:t>
      </w:r>
    </w:p>
    <w:p w14:paraId="782A3BB8" w14:textId="77777777" w:rsidR="00DD7228" w:rsidRPr="00D141A5" w:rsidRDefault="00DD7228" w:rsidP="00DD7228">
      <w:pPr>
        <w:spacing w:before="0"/>
        <w:rPr>
          <w:rFonts w:asciiTheme="majorHAnsi" w:hAnsiTheme="majorHAnsi" w:cstheme="majorHAnsi"/>
          <w:bCs/>
        </w:rPr>
      </w:pPr>
    </w:p>
    <w:p w14:paraId="0741F3AA" w14:textId="77777777" w:rsidR="00DD7228" w:rsidRPr="001A2491" w:rsidRDefault="00DD7228" w:rsidP="00DD7228">
      <w:pPr>
        <w:spacing w:before="0"/>
        <w:rPr>
          <w:rFonts w:asciiTheme="majorHAnsi" w:hAnsiTheme="majorHAnsi" w:cstheme="majorHAnsi"/>
          <w:bCs/>
          <w:u w:val="single"/>
        </w:rPr>
      </w:pPr>
      <w:r w:rsidRPr="001A2491">
        <w:rPr>
          <w:rFonts w:asciiTheme="majorHAnsi" w:hAnsiTheme="majorHAnsi" w:cstheme="majorHAnsi"/>
          <w:bCs/>
          <w:i/>
          <w:iCs/>
        </w:rPr>
        <w:t xml:space="preserve">Teckningskurs för teckning av </w:t>
      </w:r>
      <w:r w:rsidR="00B32BD0">
        <w:rPr>
          <w:rFonts w:asciiTheme="majorHAnsi" w:hAnsiTheme="majorHAnsi" w:cstheme="majorHAnsi"/>
          <w:bCs/>
          <w:i/>
          <w:iCs/>
        </w:rPr>
        <w:t>B-</w:t>
      </w:r>
      <w:r w:rsidRPr="001A2491">
        <w:rPr>
          <w:rFonts w:asciiTheme="majorHAnsi" w:hAnsiTheme="majorHAnsi" w:cstheme="majorHAnsi"/>
          <w:bCs/>
          <w:i/>
          <w:iCs/>
        </w:rPr>
        <w:t>aktier genom nyttjande av teckningsoptionerna</w:t>
      </w:r>
    </w:p>
    <w:p w14:paraId="082D70F1" w14:textId="77777777" w:rsidR="00DD7228" w:rsidRPr="00D141A5" w:rsidRDefault="00DD7228" w:rsidP="00DD7228">
      <w:pPr>
        <w:spacing w:before="0"/>
        <w:rPr>
          <w:rFonts w:asciiTheme="majorHAnsi" w:hAnsiTheme="majorHAnsi" w:cstheme="majorHAnsi"/>
          <w:bCs/>
        </w:rPr>
      </w:pPr>
      <w:r w:rsidRPr="00D141A5">
        <w:rPr>
          <w:rFonts w:asciiTheme="majorHAnsi" w:hAnsiTheme="majorHAnsi" w:cstheme="majorHAnsi"/>
          <w:bCs/>
        </w:rPr>
        <w:t xml:space="preserve">Teckningskursen för </w:t>
      </w:r>
      <w:r w:rsidR="00B32BD0">
        <w:rPr>
          <w:rFonts w:asciiTheme="majorHAnsi" w:hAnsiTheme="majorHAnsi" w:cstheme="majorHAnsi"/>
          <w:bCs/>
        </w:rPr>
        <w:t>B-</w:t>
      </w:r>
      <w:r w:rsidRPr="00D141A5">
        <w:rPr>
          <w:rFonts w:asciiTheme="majorHAnsi" w:hAnsiTheme="majorHAnsi" w:cstheme="majorHAnsi"/>
          <w:bCs/>
        </w:rPr>
        <w:t>aktie</w:t>
      </w:r>
      <w:r w:rsidR="00B32BD0">
        <w:rPr>
          <w:rFonts w:asciiTheme="majorHAnsi" w:hAnsiTheme="majorHAnsi" w:cstheme="majorHAnsi"/>
          <w:bCs/>
        </w:rPr>
        <w:t xml:space="preserve"> </w:t>
      </w:r>
      <w:r w:rsidRPr="00D141A5">
        <w:rPr>
          <w:rFonts w:asciiTheme="majorHAnsi" w:hAnsiTheme="majorHAnsi" w:cstheme="majorHAnsi"/>
          <w:bCs/>
        </w:rPr>
        <w:t xml:space="preserve">vid utnyttjandet av teckningsoption ska uppgå till </w:t>
      </w:r>
      <w:bookmarkStart w:id="9" w:name="_Hlk98165978"/>
      <w:r w:rsidRPr="00D141A5">
        <w:rPr>
          <w:rFonts w:asciiTheme="majorHAnsi" w:hAnsiTheme="majorHAnsi" w:cstheme="majorHAnsi"/>
          <w:bCs/>
        </w:rPr>
        <w:t>37</w:t>
      </w:r>
      <w:r>
        <w:rPr>
          <w:rFonts w:asciiTheme="majorHAnsi" w:hAnsiTheme="majorHAnsi" w:cstheme="majorHAnsi"/>
          <w:bCs/>
        </w:rPr>
        <w:t>,05</w:t>
      </w:r>
      <w:r w:rsidRPr="00D141A5">
        <w:rPr>
          <w:rFonts w:asciiTheme="majorHAnsi" w:hAnsiTheme="majorHAnsi" w:cstheme="majorHAnsi"/>
          <w:bCs/>
        </w:rPr>
        <w:t xml:space="preserve"> </w:t>
      </w:r>
      <w:bookmarkEnd w:id="9"/>
      <w:r w:rsidRPr="00D141A5">
        <w:rPr>
          <w:rFonts w:asciiTheme="majorHAnsi" w:hAnsiTheme="majorHAnsi" w:cstheme="majorHAnsi"/>
          <w:bCs/>
        </w:rPr>
        <w:t xml:space="preserve">kronor vilket </w:t>
      </w:r>
      <w:r>
        <w:rPr>
          <w:rFonts w:asciiTheme="majorHAnsi" w:hAnsiTheme="majorHAnsi" w:cstheme="majorHAnsi"/>
          <w:bCs/>
        </w:rPr>
        <w:t>motsvarar</w:t>
      </w:r>
      <w:r w:rsidRPr="00D141A5">
        <w:rPr>
          <w:rFonts w:asciiTheme="majorHAnsi" w:hAnsiTheme="majorHAnsi" w:cstheme="majorHAnsi"/>
          <w:bCs/>
        </w:rPr>
        <w:t xml:space="preserve"> 150 procent av den kurs som gällde i samband med lösen av teckningsoptioner i </w:t>
      </w:r>
      <w:r>
        <w:rPr>
          <w:rFonts w:asciiTheme="majorHAnsi" w:hAnsiTheme="majorHAnsi" w:cstheme="majorHAnsi"/>
          <w:bCs/>
        </w:rPr>
        <w:t>B</w:t>
      </w:r>
      <w:r w:rsidRPr="00D141A5">
        <w:rPr>
          <w:rFonts w:asciiTheme="majorHAnsi" w:hAnsiTheme="majorHAnsi" w:cstheme="majorHAnsi"/>
          <w:bCs/>
        </w:rPr>
        <w:t>olaget i januari 2022.</w:t>
      </w:r>
      <w:r>
        <w:rPr>
          <w:rFonts w:asciiTheme="majorHAnsi" w:hAnsiTheme="majorHAnsi" w:cstheme="majorHAnsi"/>
          <w:bCs/>
        </w:rPr>
        <w:t xml:space="preserve"> Överkursen ska </w:t>
      </w:r>
      <w:r w:rsidRPr="00D141A5">
        <w:rPr>
          <w:rFonts w:asciiTheme="majorHAnsi" w:hAnsiTheme="majorHAnsi" w:cstheme="majorHAnsi"/>
          <w:bCs/>
        </w:rPr>
        <w:t>tas upp under den fria överkursfonden i Bolagets balansräkning.</w:t>
      </w:r>
      <w:r>
        <w:rPr>
          <w:rFonts w:asciiTheme="majorHAnsi" w:hAnsiTheme="majorHAnsi" w:cstheme="majorHAnsi"/>
          <w:bCs/>
        </w:rPr>
        <w:t xml:space="preserve"> </w:t>
      </w:r>
    </w:p>
    <w:p w14:paraId="52527929" w14:textId="77777777" w:rsidR="00DD7228" w:rsidRPr="00D141A5" w:rsidRDefault="00DD7228" w:rsidP="00DD7228">
      <w:pPr>
        <w:spacing w:before="0"/>
        <w:rPr>
          <w:rFonts w:asciiTheme="majorHAnsi" w:hAnsiTheme="majorHAnsi" w:cstheme="majorHAnsi"/>
          <w:bCs/>
        </w:rPr>
      </w:pPr>
    </w:p>
    <w:p w14:paraId="40FEE8CB" w14:textId="77777777" w:rsidR="00DD7228" w:rsidRPr="00BB5DD3" w:rsidRDefault="00DD7228" w:rsidP="00DD7228">
      <w:pPr>
        <w:spacing w:before="0"/>
        <w:rPr>
          <w:rFonts w:asciiTheme="majorHAnsi" w:hAnsiTheme="majorHAnsi" w:cstheme="majorHAnsi"/>
          <w:bCs/>
          <w:i/>
          <w:iCs/>
        </w:rPr>
      </w:pPr>
      <w:r w:rsidRPr="00BB5DD3">
        <w:rPr>
          <w:rFonts w:asciiTheme="majorHAnsi" w:hAnsiTheme="majorHAnsi" w:cstheme="majorHAnsi"/>
          <w:bCs/>
          <w:i/>
          <w:iCs/>
        </w:rPr>
        <w:t>Utdelning</w:t>
      </w:r>
    </w:p>
    <w:p w14:paraId="0E3597DB" w14:textId="77777777" w:rsidR="00DD7228" w:rsidRPr="00D141A5" w:rsidRDefault="00DD7228" w:rsidP="00DD7228">
      <w:pPr>
        <w:spacing w:before="0"/>
        <w:rPr>
          <w:rFonts w:asciiTheme="majorHAnsi" w:hAnsiTheme="majorHAnsi" w:cstheme="majorHAnsi"/>
          <w:bCs/>
        </w:rPr>
      </w:pPr>
      <w:r w:rsidRPr="00D141A5">
        <w:rPr>
          <w:rFonts w:asciiTheme="majorHAnsi" w:hAnsiTheme="majorHAnsi" w:cstheme="majorHAnsi"/>
          <w:bCs/>
        </w:rPr>
        <w:t xml:space="preserve">Aktier </w:t>
      </w:r>
      <w:r w:rsidR="00B32BD0">
        <w:rPr>
          <w:rFonts w:asciiTheme="majorHAnsi" w:hAnsiTheme="majorHAnsi" w:cstheme="majorHAnsi"/>
          <w:bCs/>
        </w:rPr>
        <w:t xml:space="preserve">av serie B </w:t>
      </w:r>
      <w:r w:rsidRPr="00D141A5">
        <w:rPr>
          <w:rFonts w:asciiTheme="majorHAnsi" w:hAnsiTheme="majorHAnsi" w:cstheme="majorHAnsi"/>
          <w:bCs/>
        </w:rPr>
        <w:t xml:space="preserve">som tecknas med utnyttjande av teckningsoptionerna medför rätt till vinstutdelning första gången på den avstämningsdag för utdelning som infaller närmast efter det </w:t>
      </w:r>
      <w:r>
        <w:rPr>
          <w:rFonts w:asciiTheme="majorHAnsi" w:hAnsiTheme="majorHAnsi" w:cstheme="majorHAnsi"/>
          <w:bCs/>
        </w:rPr>
        <w:t xml:space="preserve">att de nya </w:t>
      </w:r>
      <w:r w:rsidR="00B32BD0">
        <w:rPr>
          <w:rFonts w:asciiTheme="majorHAnsi" w:hAnsiTheme="majorHAnsi" w:cstheme="majorHAnsi"/>
          <w:bCs/>
        </w:rPr>
        <w:t>B-</w:t>
      </w:r>
      <w:r>
        <w:rPr>
          <w:rFonts w:asciiTheme="majorHAnsi" w:hAnsiTheme="majorHAnsi" w:cstheme="majorHAnsi"/>
          <w:bCs/>
        </w:rPr>
        <w:t xml:space="preserve">aktierna </w:t>
      </w:r>
      <w:r w:rsidRPr="006A3546">
        <w:rPr>
          <w:rFonts w:cstheme="minorHAnsi"/>
        </w:rPr>
        <w:t>registrerats hos Bolagsverket och införts i den av Euroclear Sweden AB förda aktieboken</w:t>
      </w:r>
      <w:r w:rsidRPr="00D141A5">
        <w:rPr>
          <w:rFonts w:asciiTheme="majorHAnsi" w:hAnsiTheme="majorHAnsi" w:cstheme="majorHAnsi"/>
          <w:bCs/>
        </w:rPr>
        <w:t>.</w:t>
      </w:r>
    </w:p>
    <w:p w14:paraId="390F5372" w14:textId="77777777" w:rsidR="00DD7228" w:rsidRPr="00D141A5" w:rsidRDefault="00DD7228" w:rsidP="00DD7228">
      <w:pPr>
        <w:spacing w:before="0"/>
        <w:rPr>
          <w:rFonts w:asciiTheme="majorHAnsi" w:hAnsiTheme="majorHAnsi" w:cstheme="majorHAnsi"/>
          <w:bCs/>
        </w:rPr>
      </w:pPr>
    </w:p>
    <w:p w14:paraId="1C0120AC" w14:textId="77777777" w:rsidR="00DD7228" w:rsidRPr="00BB5DD3" w:rsidRDefault="00DD7228" w:rsidP="00DD7228">
      <w:pPr>
        <w:spacing w:before="0"/>
        <w:rPr>
          <w:rFonts w:asciiTheme="majorHAnsi" w:hAnsiTheme="majorHAnsi" w:cstheme="majorHAnsi"/>
          <w:bCs/>
          <w:i/>
          <w:iCs/>
        </w:rPr>
      </w:pPr>
      <w:r w:rsidRPr="00BB5DD3">
        <w:rPr>
          <w:rFonts w:asciiTheme="majorHAnsi" w:hAnsiTheme="majorHAnsi" w:cstheme="majorHAnsi"/>
          <w:bCs/>
          <w:i/>
          <w:iCs/>
        </w:rPr>
        <w:t>Fullständiga villkor</w:t>
      </w:r>
    </w:p>
    <w:p w14:paraId="724F1B4E" w14:textId="18504C7A" w:rsidR="00DD7228" w:rsidRPr="00572A40" w:rsidRDefault="00DD7228" w:rsidP="00DD7228">
      <w:pPr>
        <w:spacing w:before="0"/>
        <w:rPr>
          <w:rFonts w:asciiTheme="majorHAnsi" w:hAnsiTheme="majorHAnsi" w:cstheme="majorHAnsi"/>
          <w:bCs/>
        </w:rPr>
      </w:pPr>
      <w:r w:rsidRPr="00F73958">
        <w:rPr>
          <w:rFonts w:asciiTheme="majorHAnsi" w:hAnsiTheme="majorHAnsi" w:cstheme="majorHAnsi"/>
          <w:bCs/>
        </w:rPr>
        <w:t>De fullständiga villkoren för teckningsoptionerna framgår av "</w:t>
      </w:r>
      <w:bookmarkStart w:id="10" w:name="_Hlk98230848"/>
      <w:r w:rsidRPr="00F73958">
        <w:rPr>
          <w:rFonts w:asciiTheme="majorHAnsi" w:hAnsiTheme="majorHAnsi" w:cstheme="majorHAnsi"/>
          <w:bCs/>
        </w:rPr>
        <w:t>Villkor för Oxcia AB (publ) teckningsoptioner P 2022/2025</w:t>
      </w:r>
      <w:bookmarkEnd w:id="10"/>
      <w:r w:rsidRPr="00F73958">
        <w:rPr>
          <w:rFonts w:asciiTheme="majorHAnsi" w:hAnsiTheme="majorHAnsi" w:cstheme="majorHAnsi"/>
          <w:bCs/>
        </w:rPr>
        <w:t>"</w:t>
      </w:r>
      <w:r w:rsidR="00095E2A">
        <w:rPr>
          <w:rFonts w:asciiTheme="majorHAnsi" w:hAnsiTheme="majorHAnsi" w:cstheme="majorHAnsi"/>
          <w:bCs/>
        </w:rPr>
        <w:t xml:space="preserve">, se </w:t>
      </w:r>
      <w:r w:rsidR="00095E2A">
        <w:rPr>
          <w:rFonts w:asciiTheme="majorHAnsi" w:hAnsiTheme="majorHAnsi" w:cstheme="majorHAnsi"/>
          <w:bCs/>
          <w:u w:val="single"/>
        </w:rPr>
        <w:t>Bilaga </w:t>
      </w:r>
      <w:r w:rsidR="00EF790C">
        <w:rPr>
          <w:rFonts w:asciiTheme="majorHAnsi" w:hAnsiTheme="majorHAnsi" w:cstheme="majorHAnsi"/>
          <w:bCs/>
          <w:u w:val="single"/>
        </w:rPr>
        <w:t>B</w:t>
      </w:r>
      <w:r w:rsidRPr="00F73958">
        <w:rPr>
          <w:rFonts w:asciiTheme="majorHAnsi" w:hAnsiTheme="majorHAnsi" w:cstheme="majorHAnsi"/>
          <w:bCs/>
        </w:rPr>
        <w:t xml:space="preserve">. Bland annat framgår att teckningskursen liksom antalet </w:t>
      </w:r>
      <w:r w:rsidR="00B32BD0">
        <w:rPr>
          <w:rFonts w:asciiTheme="majorHAnsi" w:hAnsiTheme="majorHAnsi" w:cstheme="majorHAnsi"/>
          <w:bCs/>
        </w:rPr>
        <w:t>B-</w:t>
      </w:r>
      <w:r w:rsidRPr="00F73958">
        <w:rPr>
          <w:rFonts w:asciiTheme="majorHAnsi" w:hAnsiTheme="majorHAnsi" w:cstheme="majorHAnsi"/>
          <w:bCs/>
        </w:rPr>
        <w:t xml:space="preserve">aktier som varje teckningsoption berättigar till teckning av kan komma att omräknas vid </w:t>
      </w:r>
      <w:r w:rsidRPr="00F73958">
        <w:rPr>
          <w:rFonts w:asciiTheme="majorHAnsi" w:hAnsiTheme="majorHAnsi" w:cstheme="majorHAnsi"/>
          <w:bCs/>
        </w:rPr>
        <w:lastRenderedPageBreak/>
        <w:t>fondemission, nyemission samt i vissa andra fall. Det noteras att den</w:t>
      </w:r>
      <w:r w:rsidRPr="00D141A5">
        <w:rPr>
          <w:rFonts w:asciiTheme="majorHAnsi" w:hAnsiTheme="majorHAnsi" w:cstheme="majorHAnsi"/>
          <w:bCs/>
        </w:rPr>
        <w:t xml:space="preserve"> aktiesplit som styrelsen föreslagit under punkt 9 på dagordningen</w:t>
      </w:r>
      <w:r w:rsidR="000E4B58">
        <w:rPr>
          <w:rFonts w:asciiTheme="majorHAnsi" w:hAnsiTheme="majorHAnsi" w:cstheme="majorHAnsi"/>
          <w:bCs/>
        </w:rPr>
        <w:t xml:space="preserve"> i kallelsen till</w:t>
      </w:r>
      <w:r w:rsidRPr="00D141A5">
        <w:rPr>
          <w:rFonts w:asciiTheme="majorHAnsi" w:hAnsiTheme="majorHAnsi" w:cstheme="majorHAnsi"/>
          <w:bCs/>
        </w:rPr>
        <w:t xml:space="preserve"> bolagsstämman inte kommer att medföra att någon omräkning ska ske.</w:t>
      </w:r>
    </w:p>
    <w:p w14:paraId="5FD781B6" w14:textId="77777777" w:rsidR="00DD7228" w:rsidRPr="008F4D5F" w:rsidRDefault="00DD7228" w:rsidP="00DD7228">
      <w:pPr>
        <w:rPr>
          <w:b/>
          <w:bCs/>
        </w:rPr>
      </w:pPr>
      <w:r w:rsidRPr="008F4D5F">
        <w:rPr>
          <w:b/>
          <w:bCs/>
        </w:rPr>
        <w:t xml:space="preserve">B. Erläggande av </w:t>
      </w:r>
      <w:proofErr w:type="spellStart"/>
      <w:r w:rsidRPr="008F4D5F">
        <w:rPr>
          <w:b/>
          <w:bCs/>
        </w:rPr>
        <w:t>stay</w:t>
      </w:r>
      <w:proofErr w:type="spellEnd"/>
      <w:r w:rsidRPr="008F4D5F">
        <w:rPr>
          <w:b/>
          <w:bCs/>
        </w:rPr>
        <w:t>-on bonus</w:t>
      </w:r>
    </w:p>
    <w:p w14:paraId="6997FF0D" w14:textId="77777777" w:rsidR="00DD7228" w:rsidRPr="008F4D5F" w:rsidRDefault="00DD7228" w:rsidP="00DD7228">
      <w:pPr>
        <w:spacing w:before="0"/>
        <w:rPr>
          <w:rFonts w:asciiTheme="majorHAnsi" w:hAnsiTheme="majorHAnsi" w:cstheme="majorHAnsi"/>
          <w:bCs/>
        </w:rPr>
      </w:pPr>
      <w:r w:rsidRPr="008F4D5F">
        <w:rPr>
          <w:rFonts w:asciiTheme="majorHAnsi" w:hAnsiTheme="majorHAnsi" w:cstheme="majorHAnsi"/>
          <w:bCs/>
        </w:rPr>
        <w:t xml:space="preserve">Som en del av Incitamentsprogram P 2022/2025 ska varje deltagare erhålla en tredelad så kallad </w:t>
      </w:r>
      <w:proofErr w:type="spellStart"/>
      <w:r w:rsidRPr="008F4D5F">
        <w:rPr>
          <w:rFonts w:asciiTheme="majorHAnsi" w:hAnsiTheme="majorHAnsi" w:cstheme="majorHAnsi"/>
          <w:bCs/>
        </w:rPr>
        <w:t>stay</w:t>
      </w:r>
      <w:proofErr w:type="spellEnd"/>
      <w:r w:rsidRPr="008F4D5F">
        <w:rPr>
          <w:rFonts w:asciiTheme="majorHAnsi" w:hAnsiTheme="majorHAnsi" w:cstheme="majorHAnsi"/>
          <w:bCs/>
        </w:rPr>
        <w:t xml:space="preserve">-on bonus i form av bruttolönetillägg från Bolaget som sammanlagt ska motsvara det belopp som deltagaren har erlagt för teckningsoptionerna.  </w:t>
      </w:r>
    </w:p>
    <w:p w14:paraId="0720910F" w14:textId="77777777" w:rsidR="00DD7228" w:rsidRDefault="00DD7228" w:rsidP="00DD7228">
      <w:pPr>
        <w:pStyle w:val="ListParagraph"/>
        <w:numPr>
          <w:ilvl w:val="0"/>
          <w:numId w:val="39"/>
        </w:numPr>
      </w:pPr>
      <w:r w:rsidRPr="008F4D5F">
        <w:t>Första bonusutbetalningen, motsvarande en tredjedel (1/3) av det belopp som deltagaren har erlagt för teckningsoptionerna, ska erläggas av Bolaget den 25 maj 2023, förutsatt att deltagaren vid tidpunkten fortsatt innehar position i Bolaget och inte vid nämnda tidpunkt har informerat eller blivit informerad om att anställningen eller uppdraget avses att avslutas.</w:t>
      </w:r>
    </w:p>
    <w:p w14:paraId="07699F2E" w14:textId="77777777" w:rsidR="00DD7228" w:rsidRDefault="00DD7228" w:rsidP="00DD7228">
      <w:pPr>
        <w:pStyle w:val="ListParagraph"/>
        <w:ind w:left="1080"/>
      </w:pPr>
    </w:p>
    <w:p w14:paraId="7A0C5A0F" w14:textId="77777777" w:rsidR="00DD7228" w:rsidRDefault="00DD7228" w:rsidP="00DD7228">
      <w:pPr>
        <w:pStyle w:val="ListParagraph"/>
        <w:numPr>
          <w:ilvl w:val="0"/>
          <w:numId w:val="39"/>
        </w:numPr>
      </w:pPr>
      <w:r w:rsidRPr="008F4D5F">
        <w:t>Andra bonusutbetalningen, motsvarande en tredjedel (1/3) av det belopp som deltagaren har erlagt för teckningsoptionerna, ska erläggas av Bolaget den 25 maj 2024, förutsatt att deltagaren vid tidpunkten fortsatt innehar position i Bolaget och inte vid nämnda tidpunkt har informerat eller blivit informerad om att anställningen eller uppdraget avses att avslutas.</w:t>
      </w:r>
      <w:r>
        <w:br/>
      </w:r>
    </w:p>
    <w:p w14:paraId="4B8A6147" w14:textId="1B4ED237" w:rsidR="00DD7228" w:rsidRPr="000E4B58" w:rsidRDefault="00DD7228" w:rsidP="000E4B58">
      <w:pPr>
        <w:pStyle w:val="ListParagraph"/>
        <w:numPr>
          <w:ilvl w:val="0"/>
          <w:numId w:val="39"/>
        </w:numPr>
      </w:pPr>
      <w:r w:rsidRPr="008F4D5F">
        <w:t xml:space="preserve">Tredje bonusutbetalningen, motsvarande en tredjedel (1/3) av det belopp som deltagaren har erlagt för teckningsoptionerna, ska erläggas av Bolaget den 25 maj 2025, förutsatt att deltagaren vid tidpunkten fortsatt innehar position i Bolaget och inte vid nämnda tidpunkt har informerat eller blivit informerad om att anställningen eller uppdraget avses att avslutas. </w:t>
      </w:r>
    </w:p>
    <w:p w14:paraId="16C2B05F" w14:textId="77777777" w:rsidR="00DD7228" w:rsidRPr="008F4D5F" w:rsidRDefault="00DD7228" w:rsidP="00DD7228">
      <w:r w:rsidRPr="008F4D5F">
        <w:t xml:space="preserve">Deltagare som utför arbete åt Bolaget på konsultbasis och som är berättigad att erhålla </w:t>
      </w:r>
      <w:proofErr w:type="spellStart"/>
      <w:r w:rsidRPr="008F4D5F">
        <w:t>stay</w:t>
      </w:r>
      <w:proofErr w:type="spellEnd"/>
      <w:r w:rsidRPr="008F4D5F">
        <w:t xml:space="preserve">-on bonus enligt ovan ska i tillämpliga fall fakturera </w:t>
      </w:r>
      <w:proofErr w:type="spellStart"/>
      <w:r w:rsidRPr="008F4D5F">
        <w:t>stay</w:t>
      </w:r>
      <w:proofErr w:type="spellEnd"/>
      <w:r w:rsidRPr="008F4D5F">
        <w:t>-on bonus via bolag, varvid Bolaget också ska utge på beloppet belöpande mervärdesskatt, om tillämpligt.</w:t>
      </w:r>
    </w:p>
    <w:p w14:paraId="45F4DC3E" w14:textId="77777777" w:rsidR="00DD7228" w:rsidRPr="008F4D5F" w:rsidRDefault="00DD7228" w:rsidP="00DD7228">
      <w:r w:rsidRPr="008F4D5F">
        <w:t>Styrelsen ska, med avvikelse från ovan angivna principer för bonusutbetalning och i den mån så krävs, äga rätt att i enskilda fall besluta om alternativa tidpunkter för bonusutbetalning.</w:t>
      </w:r>
    </w:p>
    <w:p w14:paraId="5DB2050C" w14:textId="77777777" w:rsidR="00DD7228" w:rsidRDefault="00DD7228" w:rsidP="00DD7228">
      <w:pPr>
        <w:rPr>
          <w:b/>
          <w:bCs/>
        </w:rPr>
      </w:pPr>
      <w:r w:rsidRPr="008F4D5F">
        <w:rPr>
          <w:b/>
          <w:bCs/>
        </w:rPr>
        <w:t>C</w:t>
      </w:r>
      <w:r>
        <w:rPr>
          <w:b/>
          <w:bCs/>
        </w:rPr>
        <w:t>.</w:t>
      </w:r>
      <w:r w:rsidRPr="008F4D5F">
        <w:rPr>
          <w:b/>
          <w:bCs/>
        </w:rPr>
        <w:t xml:space="preserve"> Kostnader</w:t>
      </w:r>
      <w:r>
        <w:rPr>
          <w:b/>
          <w:bCs/>
        </w:rPr>
        <w:t>, utspädning och beredning av förslaget</w:t>
      </w:r>
      <w:r w:rsidRPr="008F4D5F">
        <w:rPr>
          <w:b/>
          <w:bCs/>
        </w:rPr>
        <w:t xml:space="preserve"> </w:t>
      </w:r>
    </w:p>
    <w:p w14:paraId="117884FD" w14:textId="77777777" w:rsidR="00DD7228" w:rsidRDefault="00DD7228" w:rsidP="00DD7228">
      <w:pPr>
        <w:spacing w:before="0"/>
      </w:pPr>
      <w:r w:rsidRPr="008F4D5F">
        <w:t xml:space="preserve">Bolagets kostnader för erläggande av </w:t>
      </w:r>
      <w:proofErr w:type="spellStart"/>
      <w:r w:rsidRPr="008F4D5F">
        <w:t>stay</w:t>
      </w:r>
      <w:proofErr w:type="spellEnd"/>
      <w:r w:rsidRPr="008F4D5F">
        <w:t>-on bonus till deltagarna i Incitamentsprogram P 2022/2025 enligt B ovan uppskattas, vid fullt deltagande och vid ett antaget marknadsvärde för teckningsoptionerna om 3</w:t>
      </w:r>
      <w:r>
        <w:t>45</w:t>
      </w:r>
      <w:r w:rsidRPr="008F4D5F">
        <w:t> </w:t>
      </w:r>
      <w:r>
        <w:t>6</w:t>
      </w:r>
      <w:r w:rsidRPr="008F4D5F">
        <w:t xml:space="preserve">00 kronor, uppgå till maximalt cirka </w:t>
      </w:r>
      <w:r>
        <w:t>1 miljoner</w:t>
      </w:r>
      <w:r w:rsidRPr="008F4D5F">
        <w:t xml:space="preserve"> kronor (inklusive sociala avgifter). I övrigt beräknas Bolagets kostnader för Incitamentsprogram P 2022/2025 att bestå av kostnader för framtagande, implementering och administration av programmet samt avstämning av skattesituationen.</w:t>
      </w:r>
    </w:p>
    <w:p w14:paraId="57929967" w14:textId="77777777" w:rsidR="00DD7228" w:rsidRPr="00E04E28" w:rsidRDefault="00DD7228" w:rsidP="00DD7228">
      <w:pPr>
        <w:spacing w:before="0"/>
      </w:pPr>
    </w:p>
    <w:p w14:paraId="2E13E6CD" w14:textId="248D6432" w:rsidR="00DD7228" w:rsidRDefault="00DD7228" w:rsidP="00DD7228">
      <w:pPr>
        <w:spacing w:before="0"/>
      </w:pPr>
      <w:r w:rsidRPr="00E04E28">
        <w:t xml:space="preserve">Om samtliga teckningsoptioner som utges i anslutning till Incitamentsprogram P 2022/2025 utnyttjas för teckning av </w:t>
      </w:r>
      <w:r w:rsidR="00556A39">
        <w:t>B-</w:t>
      </w:r>
      <w:r w:rsidRPr="00E04E28">
        <w:t xml:space="preserve">aktier kommer totalt 120 000 nya aktier </w:t>
      </w:r>
      <w:r w:rsidR="00556A39">
        <w:t xml:space="preserve">av serie B </w:t>
      </w:r>
      <w:r w:rsidRPr="00E04E28">
        <w:t xml:space="preserve">att utges, </w:t>
      </w:r>
      <w:bookmarkStart w:id="11" w:name="_Hlk98266797"/>
      <w:r w:rsidR="004C58E1" w:rsidRPr="00115811">
        <w:t xml:space="preserve">vilket motsvarar en total utspädning </w:t>
      </w:r>
      <w:r w:rsidR="004C58E1" w:rsidRPr="007159FB">
        <w:t xml:space="preserve">om cirka 0,55 procent av Bolagets aktiekapital och </w:t>
      </w:r>
      <w:r w:rsidR="004C58E1">
        <w:t>0,13</w:t>
      </w:r>
      <w:r w:rsidR="004C58E1" w:rsidRPr="007159FB">
        <w:t xml:space="preserve"> procent av antalet röster i Bolaget </w:t>
      </w:r>
      <w:r w:rsidR="004C58E1" w:rsidRPr="00115811">
        <w:t xml:space="preserve">efter full utspädning beräknat på antalet </w:t>
      </w:r>
      <w:r w:rsidR="004C58E1">
        <w:t>B-</w:t>
      </w:r>
      <w:r w:rsidR="004C58E1" w:rsidRPr="00115811">
        <w:t>aktier som tillkommer vid fullt utnyttjande av samtliga teckningsoptioner</w:t>
      </w:r>
      <w:bookmarkEnd w:id="11"/>
      <w:r w:rsidR="004C58E1" w:rsidRPr="00115811">
        <w:t xml:space="preserve"> </w:t>
      </w:r>
      <w:r w:rsidRPr="00E04E28">
        <w:t>som utgivits i anslutning till Incitamentsprogram P 2022/2025</w:t>
      </w:r>
      <w:r>
        <w:t xml:space="preserve"> samt med beaktande av den split som styrelsen föreslagit </w:t>
      </w:r>
      <w:r w:rsidR="004C58E1" w:rsidRPr="00115811">
        <w:t>enligt punkt 9</w:t>
      </w:r>
      <w:bookmarkStart w:id="12" w:name="_Hlk98262812"/>
      <w:r w:rsidR="004C58E1" w:rsidRPr="00115811">
        <w:t xml:space="preserve"> </w:t>
      </w:r>
      <w:r w:rsidR="004C58E1">
        <w:t>i dagordningen i kallelsen till stämman</w:t>
      </w:r>
      <w:bookmarkEnd w:id="12"/>
      <w:r>
        <w:t xml:space="preserve">. </w:t>
      </w:r>
    </w:p>
    <w:p w14:paraId="4C8A0CE8" w14:textId="77777777" w:rsidR="00DD7228" w:rsidRPr="00E04E28" w:rsidRDefault="00DD7228" w:rsidP="00DD7228">
      <w:pPr>
        <w:spacing w:before="0"/>
      </w:pPr>
    </w:p>
    <w:p w14:paraId="671DF03A" w14:textId="77777777" w:rsidR="00DD7228" w:rsidRPr="00E04E28" w:rsidRDefault="00DD7228" w:rsidP="00DD7228">
      <w:pPr>
        <w:spacing w:before="0"/>
      </w:pPr>
      <w:r w:rsidRPr="00E04E28">
        <w:lastRenderedPageBreak/>
        <w:t>Förslaget till Incitamentsprogram P 2022/2025 har beretts av styrelsen i samråd med externa rådgivare.</w:t>
      </w:r>
    </w:p>
    <w:p w14:paraId="0295DA02" w14:textId="77777777" w:rsidR="00DD7228" w:rsidRPr="008F4D5F" w:rsidRDefault="00DD7228" w:rsidP="00DD7228">
      <w:pPr>
        <w:rPr>
          <w:b/>
          <w:bCs/>
        </w:rPr>
      </w:pPr>
      <w:r w:rsidRPr="008F4D5F">
        <w:rPr>
          <w:b/>
          <w:bCs/>
        </w:rPr>
        <w:t>D</w:t>
      </w:r>
      <w:r>
        <w:rPr>
          <w:b/>
          <w:bCs/>
        </w:rPr>
        <w:t>.</w:t>
      </w:r>
      <w:r w:rsidRPr="008F4D5F">
        <w:rPr>
          <w:b/>
          <w:bCs/>
        </w:rPr>
        <w:t xml:space="preserve"> Bemyndigande och beslutsregler</w:t>
      </w:r>
    </w:p>
    <w:p w14:paraId="49D938A5" w14:textId="77777777" w:rsidR="00DD7228" w:rsidRPr="008F4D5F" w:rsidRDefault="00DD7228" w:rsidP="00DD7228">
      <w:pPr>
        <w:spacing w:before="0"/>
      </w:pPr>
      <w:r w:rsidRPr="008F4D5F">
        <w:t>Styrelsen, eller den styrelsen därtill förordnar, ska bemyndigas att vidta de smärre ändringar i beslutet som kan komma att krävas för registrering hos Bolagsverket och Euroclear Sweden AB.</w:t>
      </w:r>
    </w:p>
    <w:p w14:paraId="2D5EFB72" w14:textId="77777777" w:rsidR="00DD7228" w:rsidRPr="008F4D5F" w:rsidRDefault="00DD7228" w:rsidP="00DD7228">
      <w:pPr>
        <w:spacing w:before="0"/>
      </w:pPr>
    </w:p>
    <w:p w14:paraId="2FE1054E" w14:textId="77777777" w:rsidR="00DD7228" w:rsidRPr="008F4D5F" w:rsidRDefault="00DD7228" w:rsidP="00DD7228">
      <w:pPr>
        <w:spacing w:before="0"/>
      </w:pPr>
      <w:r w:rsidRPr="008F4D5F">
        <w:t>Förslagen enligt A-B ska behandlas och ses som ett och samma beslut.</w:t>
      </w:r>
    </w:p>
    <w:p w14:paraId="66954059" w14:textId="77777777" w:rsidR="00DD7228" w:rsidRPr="008F4D5F" w:rsidRDefault="00DD7228" w:rsidP="00DD7228">
      <w:pPr>
        <w:spacing w:before="0"/>
      </w:pPr>
    </w:p>
    <w:p w14:paraId="53664875" w14:textId="31C2D9F9" w:rsidR="00340DC2" w:rsidRDefault="00DD7228" w:rsidP="00340DC2">
      <w:pPr>
        <w:spacing w:before="0"/>
      </w:pPr>
      <w:r w:rsidRPr="008F4D5F">
        <w:t>Bolagsstämmans beslut avseende denna punkt är giltiga endast om de biträds av aktieägare med minst nio tiondelar (9/10) av såväl de avgivna rösterna som de vid stämman företrädda aktierna.</w:t>
      </w:r>
    </w:p>
    <w:p w14:paraId="15F6A2C6" w14:textId="77777777" w:rsidR="00340DC2" w:rsidRPr="003A6F82" w:rsidRDefault="00340DC2" w:rsidP="00340DC2">
      <w:pPr>
        <w:jc w:val="center"/>
        <w:rPr>
          <w:rFonts w:asciiTheme="majorHAnsi" w:hAnsiTheme="majorHAnsi" w:cstheme="majorHAnsi"/>
          <w:bCs/>
        </w:rPr>
      </w:pPr>
      <w:bookmarkStart w:id="13" w:name="_Hlk98261558"/>
      <w:bookmarkStart w:id="14" w:name="_Hlk98262832"/>
      <w:r w:rsidRPr="003A6F82">
        <w:rPr>
          <w:rFonts w:asciiTheme="majorHAnsi" w:hAnsiTheme="majorHAnsi" w:cstheme="majorHAnsi"/>
          <w:bCs/>
        </w:rPr>
        <w:t>______________________________</w:t>
      </w:r>
    </w:p>
    <w:bookmarkEnd w:id="13"/>
    <w:p w14:paraId="31CF397B" w14:textId="77777777" w:rsidR="00340DC2" w:rsidRPr="003A6F82" w:rsidRDefault="00340DC2" w:rsidP="00340DC2">
      <w:pPr>
        <w:spacing w:before="0"/>
        <w:jc w:val="center"/>
        <w:rPr>
          <w:rFonts w:asciiTheme="majorHAnsi" w:hAnsiTheme="majorHAnsi" w:cstheme="majorHAnsi"/>
          <w:bCs/>
        </w:rPr>
      </w:pPr>
      <w:r w:rsidRPr="003A6F82">
        <w:rPr>
          <w:rFonts w:asciiTheme="majorHAnsi" w:hAnsiTheme="majorHAnsi" w:cstheme="majorHAnsi"/>
          <w:bCs/>
        </w:rPr>
        <w:t>Stockholm, mars 2022</w:t>
      </w:r>
    </w:p>
    <w:p w14:paraId="75DCFC52" w14:textId="77777777" w:rsidR="00340DC2" w:rsidRPr="003A6F82" w:rsidRDefault="00340DC2" w:rsidP="00340DC2">
      <w:pPr>
        <w:spacing w:before="0"/>
        <w:jc w:val="center"/>
        <w:rPr>
          <w:rFonts w:asciiTheme="majorHAnsi" w:hAnsiTheme="majorHAnsi" w:cstheme="majorHAnsi"/>
          <w:b/>
        </w:rPr>
      </w:pPr>
      <w:r w:rsidRPr="003A6F82">
        <w:rPr>
          <w:rFonts w:asciiTheme="majorHAnsi" w:hAnsiTheme="majorHAnsi" w:cstheme="majorHAnsi"/>
          <w:b/>
        </w:rPr>
        <w:t>Oxcia AB (publ)</w:t>
      </w:r>
    </w:p>
    <w:p w14:paraId="56844759" w14:textId="603ACCB8" w:rsidR="00DD7228" w:rsidRPr="00340DC2" w:rsidRDefault="00340DC2" w:rsidP="00340DC2">
      <w:pPr>
        <w:spacing w:before="0"/>
        <w:jc w:val="center"/>
        <w:rPr>
          <w:rFonts w:asciiTheme="majorHAnsi" w:hAnsiTheme="majorHAnsi" w:cstheme="majorHAnsi"/>
          <w:bCs/>
          <w:i/>
          <w:iCs/>
        </w:rPr>
      </w:pPr>
      <w:r w:rsidRPr="003A6F82">
        <w:rPr>
          <w:rFonts w:asciiTheme="majorHAnsi" w:hAnsiTheme="majorHAnsi" w:cstheme="majorHAnsi"/>
          <w:bCs/>
          <w:i/>
          <w:iCs/>
        </w:rPr>
        <w:t>Styrelsen</w:t>
      </w:r>
      <w:bookmarkEnd w:id="14"/>
    </w:p>
    <w:sectPr w:rsidR="00DD7228" w:rsidRPr="00340DC2" w:rsidSect="00BD02BC">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4EB64" w14:textId="77777777" w:rsidR="00DD7228" w:rsidRDefault="00DD7228" w:rsidP="00022D3B">
      <w:r>
        <w:separator/>
      </w:r>
    </w:p>
  </w:endnote>
  <w:endnote w:type="continuationSeparator" w:id="0">
    <w:p w14:paraId="1FAEBB4D" w14:textId="77777777" w:rsidR="00DD7228" w:rsidRDefault="00DD7228" w:rsidP="00022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E389B" w14:textId="77777777" w:rsidR="00537913" w:rsidRDefault="005379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Look w:val="04A0" w:firstRow="1" w:lastRow="0" w:firstColumn="1" w:lastColumn="0" w:noHBand="0" w:noVBand="1"/>
    </w:tblPr>
    <w:tblGrid>
      <w:gridCol w:w="8472"/>
      <w:gridCol w:w="1275"/>
    </w:tblGrid>
    <w:tr w:rsidR="00420C8B" w:rsidRPr="00BE0F23" w14:paraId="3F96D929" w14:textId="77777777" w:rsidTr="007D24D8">
      <w:tc>
        <w:tcPr>
          <w:tcW w:w="8472" w:type="dxa"/>
        </w:tcPr>
        <w:p w14:paraId="18E8EFB6" w14:textId="77777777" w:rsidR="00420C8B" w:rsidRPr="00BE0F23" w:rsidRDefault="00420C8B" w:rsidP="007D24D8">
          <w:pPr>
            <w:pStyle w:val="Footer"/>
          </w:pPr>
        </w:p>
      </w:tc>
      <w:tc>
        <w:tcPr>
          <w:tcW w:w="1275" w:type="dxa"/>
        </w:tcPr>
        <w:p w14:paraId="3B40CA1F" w14:textId="77777777" w:rsidR="00420C8B" w:rsidRPr="00BE0F23" w:rsidRDefault="00420C8B" w:rsidP="007D24D8">
          <w:pPr>
            <w:pStyle w:val="Footer"/>
          </w:pPr>
          <w:r w:rsidRPr="00BE0F23">
            <w:fldChar w:fldCharType="begin"/>
          </w:r>
          <w:r w:rsidRPr="00BE0F23">
            <w:instrText xml:space="preserve"> PAGE   \* MERGEFORMAT </w:instrText>
          </w:r>
          <w:r w:rsidRPr="00BE0F23">
            <w:fldChar w:fldCharType="separate"/>
          </w:r>
          <w:r w:rsidR="00361431">
            <w:rPr>
              <w:noProof/>
            </w:rPr>
            <w:t>2</w:t>
          </w:r>
          <w:r w:rsidRPr="00BE0F23">
            <w:fldChar w:fldCharType="end"/>
          </w:r>
          <w:r w:rsidRPr="00BE0F23">
            <w:t xml:space="preserve"> / </w:t>
          </w:r>
          <w:r w:rsidR="009E6A42">
            <w:fldChar w:fldCharType="begin"/>
          </w:r>
          <w:r w:rsidR="009E6A42">
            <w:instrText xml:space="preserve"> NUMPAGES   \* MERGEFORMAT </w:instrText>
          </w:r>
          <w:r w:rsidR="009E6A42">
            <w:fldChar w:fldCharType="separate"/>
          </w:r>
          <w:r w:rsidR="003E6E5C">
            <w:rPr>
              <w:noProof/>
            </w:rPr>
            <w:t>1</w:t>
          </w:r>
          <w:r w:rsidR="009E6A42">
            <w:rPr>
              <w:noProof/>
            </w:rPr>
            <w:fldChar w:fldCharType="end"/>
          </w:r>
        </w:p>
      </w:tc>
    </w:tr>
  </w:tbl>
  <w:p w14:paraId="1915C1D4" w14:textId="77777777" w:rsidR="006E64E3" w:rsidRPr="00420C8B" w:rsidRDefault="006E64E3" w:rsidP="00420C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2B118" w14:textId="77777777" w:rsidR="0055671A" w:rsidRDefault="00FB3584" w:rsidP="00022D3B">
    <w:pPr>
      <w:pStyle w:val="Footer"/>
    </w:pPr>
    <w:r>
      <w:rPr>
        <w:noProof/>
      </w:rPr>
      <mc:AlternateContent>
        <mc:Choice Requires="wps">
          <w:drawing>
            <wp:anchor distT="0" distB="0" distL="114300" distR="114300" simplePos="0" relativeHeight="251657728" behindDoc="0" locked="0" layoutInCell="1" allowOverlap="1" wp14:anchorId="2187F229" wp14:editId="7761D852">
              <wp:simplePos x="0" y="0"/>
              <wp:positionH relativeFrom="page">
                <wp:posOffset>396240</wp:posOffset>
              </wp:positionH>
              <wp:positionV relativeFrom="page">
                <wp:posOffset>9901555</wp:posOffset>
              </wp:positionV>
              <wp:extent cx="171450" cy="377190"/>
              <wp:effectExtent l="0" t="0" r="381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37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B4C24A" w14:textId="23C7A74B" w:rsidR="008B5940" w:rsidRPr="00426960" w:rsidRDefault="00DD7228" w:rsidP="00410720">
                          <w:pPr>
                            <w:pStyle w:val="ID"/>
                          </w:pPr>
                          <w:bookmarkStart w:id="17" w:name="DocumentID"/>
                          <w:r>
                            <w:t>16956311</w:t>
                          </w:r>
                          <w:bookmarkEnd w:id="17"/>
                          <w:r w:rsidR="008B5940" w:rsidRPr="00426960">
                            <w:t>.</w:t>
                          </w:r>
                          <w:bookmarkStart w:id="18" w:name="DocumentVersion"/>
                          <w:r w:rsidR="009E6A42">
                            <w:t>2</w:t>
                          </w:r>
                          <w:bookmarkEnd w:id="18"/>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7F229" id="_x0000_t202" coordsize="21600,21600" o:spt="202" path="m,l,21600r21600,l21600,xe">
              <v:stroke joinstyle="miter"/>
              <v:path gradientshapeok="t" o:connecttype="rect"/>
            </v:shapetype>
            <v:shape id="Text Box 2" o:spid="_x0000_s1026" type="#_x0000_t202" style="position:absolute;margin-left:31.2pt;margin-top:779.65pt;width:13.5pt;height:29.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" stroked="f">
              <v:textbox style="layout-flow:vertical;mso-layout-flow-alt:bottom-to-top" inset="0,0,0,0">
                <w:txbxContent>
                  <w:p w14:paraId="7FB4C24A" w14:textId="23C7A74B" w:rsidR="008B5940" w:rsidRPr="00426960" w:rsidRDefault="00DD7228" w:rsidP="00410720">
                    <w:pPr>
                      <w:pStyle w:val="ID"/>
                    </w:pPr>
                    <w:bookmarkStart w:id="19" w:name="DocumentID"/>
                    <w:r>
                      <w:t>16956311</w:t>
                    </w:r>
                    <w:bookmarkEnd w:id="19"/>
                    <w:r w:rsidR="008B5940" w:rsidRPr="00426960">
                      <w:t>.</w:t>
                    </w:r>
                    <w:bookmarkStart w:id="20" w:name="DocumentVersion"/>
                    <w:r w:rsidR="009E6A42">
                      <w:t>2</w:t>
                    </w:r>
                    <w:bookmarkEnd w:id="20"/>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9BE29" w14:textId="77777777" w:rsidR="00DD7228" w:rsidRDefault="00DD7228" w:rsidP="00022D3B">
      <w:r>
        <w:separator/>
      </w:r>
    </w:p>
  </w:footnote>
  <w:footnote w:type="continuationSeparator" w:id="0">
    <w:p w14:paraId="794D4EDD" w14:textId="77777777" w:rsidR="00DD7228" w:rsidRDefault="00DD7228" w:rsidP="00022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2C708" w14:textId="77777777" w:rsidR="00537913" w:rsidRDefault="005379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75" w:type="dxa"/>
      <w:tblLook w:val="04A0" w:firstRow="1" w:lastRow="0" w:firstColumn="1" w:lastColumn="0" w:noHBand="0" w:noVBand="1"/>
    </w:tblPr>
    <w:tblGrid>
      <w:gridCol w:w="10075"/>
    </w:tblGrid>
    <w:tr w:rsidR="00361431" w:rsidRPr="00D11EDE" w14:paraId="2375B3C7" w14:textId="77777777" w:rsidTr="00BD1C7C">
      <w:tc>
        <w:tcPr>
          <w:tcW w:w="10075" w:type="dxa"/>
        </w:tcPr>
        <w:p w14:paraId="70DB2DB7" w14:textId="77777777" w:rsidR="00361431" w:rsidRPr="00D11EDE" w:rsidRDefault="00361431" w:rsidP="00BD1C7C">
          <w:pPr>
            <w:tabs>
              <w:tab w:val="center" w:pos="4513"/>
              <w:tab w:val="right" w:pos="9026"/>
            </w:tabs>
            <w:ind w:right="98"/>
            <w:jc w:val="right"/>
          </w:pPr>
          <w:bookmarkStart w:id="15" w:name="uLogo2"/>
          <w:bookmarkEnd w:id="15"/>
        </w:p>
      </w:tc>
    </w:tr>
  </w:tbl>
  <w:p w14:paraId="757E9B27" w14:textId="77777777" w:rsidR="00361431" w:rsidRDefault="003614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75" w:type="dxa"/>
      <w:tblLook w:val="04A0" w:firstRow="1" w:lastRow="0" w:firstColumn="1" w:lastColumn="0" w:noHBand="0" w:noVBand="1"/>
    </w:tblPr>
    <w:tblGrid>
      <w:gridCol w:w="10075"/>
    </w:tblGrid>
    <w:tr w:rsidR="00361431" w:rsidRPr="00D11EDE" w14:paraId="20BA5DF7" w14:textId="77777777" w:rsidTr="00BD1C7C">
      <w:tc>
        <w:tcPr>
          <w:tcW w:w="10075" w:type="dxa"/>
        </w:tcPr>
        <w:p w14:paraId="56D0BB9D" w14:textId="77777777" w:rsidR="00361431" w:rsidRPr="00D11EDE" w:rsidRDefault="00361431" w:rsidP="00BD1C7C">
          <w:pPr>
            <w:tabs>
              <w:tab w:val="center" w:pos="4513"/>
              <w:tab w:val="right" w:pos="9026"/>
            </w:tabs>
            <w:ind w:right="98"/>
            <w:jc w:val="right"/>
          </w:pPr>
          <w:bookmarkStart w:id="16" w:name="uLogo"/>
          <w:bookmarkEnd w:id="16"/>
        </w:p>
      </w:tc>
    </w:tr>
  </w:tbl>
  <w:p w14:paraId="28B37DBC" w14:textId="77777777" w:rsidR="00361431" w:rsidRDefault="003614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34F4B"/>
    <w:multiLevelType w:val="multilevel"/>
    <w:tmpl w:val="EF82FA70"/>
    <w:lvl w:ilvl="0">
      <w:start w:val="1"/>
      <w:numFmt w:val="upperRoman"/>
      <w:pStyle w:val="IIIIII-listamedindrag"/>
      <w:lvlText w:val="%1"/>
      <w:lvlJc w:val="left"/>
      <w:pPr>
        <w:ind w:left="1843" w:hanging="709"/>
      </w:pPr>
      <w:rPr>
        <w:rFonts w:hint="default"/>
        <w:b w:val="0"/>
        <w:sz w:val="24"/>
        <w:szCs w:val="24"/>
      </w:rPr>
    </w:lvl>
    <w:lvl w:ilvl="1">
      <w:start w:val="1"/>
      <w:numFmt w:val="lowerLetter"/>
      <w:lvlText w:val="%2."/>
      <w:lvlJc w:val="left"/>
      <w:pPr>
        <w:ind w:left="2552"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6C823A8"/>
    <w:multiLevelType w:val="multilevel"/>
    <w:tmpl w:val="B20052D0"/>
    <w:lvl w:ilvl="0">
      <w:start w:val="1"/>
      <w:numFmt w:val="decimal"/>
      <w:lvlText w:val="%1."/>
      <w:lvlJc w:val="left"/>
      <w:pPr>
        <w:tabs>
          <w:tab w:val="num" w:pos="1134"/>
        </w:tabs>
        <w:ind w:left="1134" w:hanging="1134"/>
      </w:pPr>
      <w:rPr>
        <w:rFonts w:ascii="Arial" w:hAnsi="Arial"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761242C"/>
    <w:multiLevelType w:val="multilevel"/>
    <w:tmpl w:val="66F09494"/>
    <w:lvl w:ilvl="0">
      <w:start w:val="1"/>
      <w:numFmt w:val="decimal"/>
      <w:lvlText w:val="%1."/>
      <w:lvlJc w:val="left"/>
      <w:pPr>
        <w:tabs>
          <w:tab w:val="num" w:pos="1134"/>
        </w:tabs>
        <w:ind w:left="1134" w:hanging="1134"/>
      </w:pPr>
      <w:rPr>
        <w:rFonts w:ascii="Arial" w:hAnsi="Arial" w:hint="default"/>
        <w:sz w:val="22"/>
        <w:szCs w:val="22"/>
      </w:rPr>
    </w:lvl>
    <w:lvl w:ilvl="1">
      <w:start w:val="1"/>
      <w:numFmt w:val="decimal"/>
      <w:lvlText w:val="%1.%2"/>
      <w:lvlJc w:val="left"/>
      <w:pPr>
        <w:tabs>
          <w:tab w:val="num" w:pos="1134"/>
        </w:tabs>
        <w:ind w:left="1134" w:hanging="1134"/>
      </w:pPr>
      <w:rPr>
        <w:rFonts w:ascii="Arial" w:hAnsi="Arial" w:hint="default"/>
        <w:sz w:val="22"/>
        <w:szCs w:val="22"/>
      </w:rPr>
    </w:lvl>
    <w:lvl w:ilvl="2">
      <w:start w:val="1"/>
      <w:numFmt w:val="decimal"/>
      <w:lvlText w:val="%1.%2.%3"/>
      <w:lvlJc w:val="left"/>
      <w:pPr>
        <w:tabs>
          <w:tab w:val="num" w:pos="1134"/>
        </w:tabs>
        <w:ind w:left="1134" w:hanging="1134"/>
      </w:pPr>
      <w:rPr>
        <w:rFonts w:ascii="Arial" w:hAnsi="Arial" w:hint="default"/>
        <w:sz w:val="22"/>
        <w:szCs w:val="22"/>
      </w:rPr>
    </w:lvl>
    <w:lvl w:ilvl="3">
      <w:start w:val="1"/>
      <w:numFmt w:val="decimal"/>
      <w:lvlText w:val="%1.%2.%3.%4"/>
      <w:lvlJc w:val="left"/>
      <w:pPr>
        <w:tabs>
          <w:tab w:val="num" w:pos="1134"/>
        </w:tabs>
        <w:ind w:left="1134" w:hanging="1134"/>
      </w:pPr>
      <w:rPr>
        <w:rFonts w:ascii="Arial" w:hAnsi="Arial" w:hint="default"/>
        <w:sz w:val="22"/>
        <w:szCs w:val="22"/>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E2072C9"/>
    <w:multiLevelType w:val="hybridMultilevel"/>
    <w:tmpl w:val="DA047DEC"/>
    <w:lvl w:ilvl="0" w:tplc="67ACA582">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0FE6396"/>
    <w:multiLevelType w:val="multilevel"/>
    <w:tmpl w:val="C20A7F38"/>
    <w:lvl w:ilvl="0">
      <w:start w:val="1"/>
      <w:numFmt w:val="lowerLetter"/>
      <w:pStyle w:val="abc-lista"/>
      <w:lvlText w:val="%1)"/>
      <w:lvlJc w:val="left"/>
      <w:pPr>
        <w:ind w:left="1134" w:hanging="1134"/>
      </w:pPr>
      <w:rPr>
        <w:rFonts w:hint="default"/>
      </w:rPr>
    </w:lvl>
    <w:lvl w:ilvl="1">
      <w:start w:val="1"/>
      <w:numFmt w:val="lowerLetter"/>
      <w:lvlText w:val="%2."/>
      <w:lvlJc w:val="left"/>
      <w:pPr>
        <w:ind w:left="1843"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48F3CAF"/>
    <w:multiLevelType w:val="multilevel"/>
    <w:tmpl w:val="A3C2F100"/>
    <w:lvl w:ilvl="0">
      <w:start w:val="1"/>
      <w:numFmt w:val="decimal"/>
      <w:lvlText w:val="%1"/>
      <w:lvlJc w:val="left"/>
      <w:pPr>
        <w:tabs>
          <w:tab w:val="num" w:pos="1134"/>
        </w:tabs>
        <w:ind w:left="1134" w:hanging="1134"/>
      </w:pPr>
      <w:rPr>
        <w:rFonts w:ascii="Arial" w:hAnsi="Arial" w:hint="default"/>
        <w:sz w:val="22"/>
        <w:szCs w:val="22"/>
      </w:rPr>
    </w:lvl>
    <w:lvl w:ilvl="1">
      <w:start w:val="1"/>
      <w:numFmt w:val="decimal"/>
      <w:lvlText w:val="%1.%2"/>
      <w:lvlJc w:val="left"/>
      <w:pPr>
        <w:tabs>
          <w:tab w:val="num" w:pos="1134"/>
        </w:tabs>
        <w:ind w:left="1134" w:hanging="1134"/>
      </w:pPr>
      <w:rPr>
        <w:rFonts w:ascii="Arial" w:hAnsi="Arial" w:hint="default"/>
        <w:sz w:val="22"/>
        <w:szCs w:val="22"/>
      </w:rPr>
    </w:lvl>
    <w:lvl w:ilvl="2">
      <w:start w:val="1"/>
      <w:numFmt w:val="decimal"/>
      <w:lvlText w:val="%1.%2.%3"/>
      <w:lvlJc w:val="left"/>
      <w:pPr>
        <w:tabs>
          <w:tab w:val="num" w:pos="1134"/>
        </w:tabs>
        <w:ind w:left="1134" w:hanging="1134"/>
      </w:pPr>
      <w:rPr>
        <w:rFonts w:ascii="Arial" w:hAnsi="Arial" w:hint="default"/>
        <w:sz w:val="22"/>
        <w:szCs w:val="22"/>
      </w:rPr>
    </w:lvl>
    <w:lvl w:ilvl="3">
      <w:start w:val="1"/>
      <w:numFmt w:val="decimal"/>
      <w:lvlText w:val="%1.%2.%3.%4"/>
      <w:lvlJc w:val="left"/>
      <w:pPr>
        <w:tabs>
          <w:tab w:val="num" w:pos="1134"/>
        </w:tabs>
        <w:ind w:left="1134" w:hanging="1134"/>
      </w:pPr>
      <w:rPr>
        <w:rFonts w:ascii="Arial" w:hAnsi="Arial" w:hint="default"/>
        <w:sz w:val="22"/>
        <w:szCs w:val="22"/>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E385CE4"/>
    <w:multiLevelType w:val="multilevel"/>
    <w:tmpl w:val="A3C2F100"/>
    <w:lvl w:ilvl="0">
      <w:start w:val="1"/>
      <w:numFmt w:val="decimal"/>
      <w:lvlText w:val="%1"/>
      <w:lvlJc w:val="left"/>
      <w:pPr>
        <w:tabs>
          <w:tab w:val="num" w:pos="1134"/>
        </w:tabs>
        <w:ind w:left="1134" w:hanging="1134"/>
      </w:pPr>
      <w:rPr>
        <w:rFonts w:ascii="Arial" w:hAnsi="Arial" w:hint="default"/>
        <w:sz w:val="22"/>
        <w:szCs w:val="22"/>
      </w:rPr>
    </w:lvl>
    <w:lvl w:ilvl="1">
      <w:start w:val="1"/>
      <w:numFmt w:val="decimal"/>
      <w:lvlText w:val="%1.%2"/>
      <w:lvlJc w:val="left"/>
      <w:pPr>
        <w:tabs>
          <w:tab w:val="num" w:pos="1134"/>
        </w:tabs>
        <w:ind w:left="1134" w:hanging="1134"/>
      </w:pPr>
      <w:rPr>
        <w:rFonts w:ascii="Arial" w:hAnsi="Arial" w:hint="default"/>
        <w:sz w:val="22"/>
        <w:szCs w:val="22"/>
      </w:rPr>
    </w:lvl>
    <w:lvl w:ilvl="2">
      <w:start w:val="1"/>
      <w:numFmt w:val="decimal"/>
      <w:lvlText w:val="%1.%2.%3"/>
      <w:lvlJc w:val="left"/>
      <w:pPr>
        <w:tabs>
          <w:tab w:val="num" w:pos="1134"/>
        </w:tabs>
        <w:ind w:left="1134" w:hanging="1134"/>
      </w:pPr>
      <w:rPr>
        <w:rFonts w:ascii="Arial" w:hAnsi="Arial" w:hint="default"/>
        <w:sz w:val="22"/>
        <w:szCs w:val="22"/>
      </w:rPr>
    </w:lvl>
    <w:lvl w:ilvl="3">
      <w:start w:val="1"/>
      <w:numFmt w:val="decimal"/>
      <w:lvlText w:val="%1.%2.%3.%4"/>
      <w:lvlJc w:val="left"/>
      <w:pPr>
        <w:tabs>
          <w:tab w:val="num" w:pos="1134"/>
        </w:tabs>
        <w:ind w:left="1134" w:hanging="1134"/>
      </w:pPr>
      <w:rPr>
        <w:rFonts w:ascii="Arial" w:hAnsi="Arial" w:hint="default"/>
        <w:sz w:val="22"/>
        <w:szCs w:val="22"/>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B6A1D5B"/>
    <w:multiLevelType w:val="multilevel"/>
    <w:tmpl w:val="E04EAE02"/>
    <w:lvl w:ilvl="0">
      <w:start w:val="1"/>
      <w:numFmt w:val="upperRoman"/>
      <w:pStyle w:val="IIIIII-lista"/>
      <w:lvlText w:val="%1"/>
      <w:lvlJc w:val="left"/>
      <w:pPr>
        <w:ind w:left="1134" w:hanging="1134"/>
      </w:pPr>
      <w:rPr>
        <w:rFonts w:hint="default"/>
      </w:rPr>
    </w:lvl>
    <w:lvl w:ilvl="1">
      <w:start w:val="1"/>
      <w:numFmt w:val="lowerLetter"/>
      <w:lvlText w:val="%2."/>
      <w:lvlJc w:val="left"/>
      <w:pPr>
        <w:ind w:left="1843"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C624529"/>
    <w:multiLevelType w:val="multilevel"/>
    <w:tmpl w:val="48BCCB7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488017A2"/>
    <w:multiLevelType w:val="multilevel"/>
    <w:tmpl w:val="6CF425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D266B30"/>
    <w:multiLevelType w:val="multilevel"/>
    <w:tmpl w:val="EE5CF93E"/>
    <w:lvl w:ilvl="0">
      <w:start w:val="1"/>
      <w:numFmt w:val="decimal"/>
      <w:pStyle w:val="123-lista"/>
      <w:lvlText w:val="%1."/>
      <w:lvlJc w:val="left"/>
      <w:pPr>
        <w:ind w:left="1134" w:hanging="1134"/>
      </w:pPr>
      <w:rPr>
        <w:rFonts w:hint="default"/>
      </w:rPr>
    </w:lvl>
    <w:lvl w:ilvl="1">
      <w:start w:val="1"/>
      <w:numFmt w:val="lowerLetter"/>
      <w:lvlText w:val="%2."/>
      <w:lvlJc w:val="left"/>
      <w:pPr>
        <w:ind w:left="1843"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7DC4D99"/>
    <w:multiLevelType w:val="multilevel"/>
    <w:tmpl w:val="98EC4206"/>
    <w:lvl w:ilvl="0">
      <w:start w:val="1"/>
      <w:numFmt w:val="decimal"/>
      <w:pStyle w:val="Heading1"/>
      <w:lvlText w:val="%1."/>
      <w:lvlJc w:val="left"/>
      <w:pPr>
        <w:ind w:left="1134" w:hanging="1134"/>
      </w:pPr>
      <w:rPr>
        <w:rFonts w:ascii="Calibri" w:hAnsi="Calibri" w:hint="default"/>
        <w:b/>
        <w:i w:val="0"/>
        <w:sz w:val="26"/>
        <w:szCs w:val="26"/>
      </w:rPr>
    </w:lvl>
    <w:lvl w:ilvl="1">
      <w:start w:val="1"/>
      <w:numFmt w:val="decimal"/>
      <w:pStyle w:val="BodyText"/>
      <w:lvlText w:val="%1.%2"/>
      <w:lvlJc w:val="left"/>
      <w:pPr>
        <w:ind w:left="1134" w:hanging="1134"/>
      </w:pPr>
      <w:rPr>
        <w:rFonts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ascii="Calibri" w:hAnsi="Calibri" w:hint="default"/>
        <w:sz w:val="24"/>
      </w:rPr>
    </w:lvl>
    <w:lvl w:ilvl="3">
      <w:start w:val="1"/>
      <w:numFmt w:val="decimal"/>
      <w:lvlText w:val="%1.%2.%3.%4"/>
      <w:lvlJc w:val="left"/>
      <w:pPr>
        <w:ind w:left="1134" w:hanging="1134"/>
      </w:pPr>
      <w:rPr>
        <w:rFonts w:ascii="Calibri" w:hAnsi="Calibri" w:hint="default"/>
        <w:sz w:val="22"/>
      </w:rPr>
    </w:lvl>
    <w:lvl w:ilvl="4">
      <w:start w:val="1"/>
      <w:numFmt w:val="decimal"/>
      <w:lvlText w:val="%1.%2.%3.%4.%5"/>
      <w:lvlJc w:val="left"/>
      <w:pPr>
        <w:ind w:left="1134" w:hanging="1134"/>
      </w:pPr>
      <w:rPr>
        <w:rFonts w:ascii="Calibri" w:hAnsi="Calibri" w:hint="default"/>
        <w:sz w:val="24"/>
      </w:rPr>
    </w:lvl>
    <w:lvl w:ilvl="5">
      <w:start w:val="1"/>
      <w:numFmt w:val="lowerLetter"/>
      <w:lvlText w:val="%6)"/>
      <w:lvlJc w:val="left"/>
      <w:pPr>
        <w:tabs>
          <w:tab w:val="num" w:pos="0"/>
        </w:tabs>
        <w:ind w:left="1985" w:hanging="851"/>
      </w:pPr>
      <w:rPr>
        <w:rFonts w:ascii="Calibri" w:hAnsi="Calibri" w:hint="default"/>
        <w:sz w:val="24"/>
      </w:rPr>
    </w:lvl>
    <w:lvl w:ilvl="6">
      <w:start w:val="1"/>
      <w:numFmt w:val="lowerRoman"/>
      <w:lvlText w:val="%7)"/>
      <w:lvlJc w:val="left"/>
      <w:pPr>
        <w:tabs>
          <w:tab w:val="num" w:pos="1985"/>
        </w:tabs>
        <w:ind w:left="1985" w:hanging="851"/>
      </w:pPr>
      <w:rPr>
        <w:rFonts w:hint="default"/>
        <w:sz w:val="24"/>
      </w:rPr>
    </w:lvl>
    <w:lvl w:ilvl="7">
      <w:start w:val="1"/>
      <w:numFmt w:val="upperRoman"/>
      <w:lvlText w:val="%8)"/>
      <w:lvlJc w:val="left"/>
      <w:pPr>
        <w:ind w:left="1134" w:hanging="1134"/>
      </w:pPr>
      <w:rPr>
        <w:rFonts w:ascii="Calibri" w:hAnsi="Calibri" w:hint="default"/>
        <w:sz w:val="24"/>
      </w:rPr>
    </w:lvl>
    <w:lvl w:ilvl="8">
      <w:start w:val="1"/>
      <w:numFmt w:val="none"/>
      <w:lvlText w:val="%9"/>
      <w:lvlJc w:val="left"/>
      <w:pPr>
        <w:ind w:left="1134" w:firstLine="0"/>
      </w:pPr>
      <w:rPr>
        <w:rFonts w:ascii="Calibri" w:hAnsi="Calibri" w:hint="default"/>
        <w:sz w:val="24"/>
      </w:rPr>
    </w:lvl>
  </w:abstractNum>
  <w:abstractNum w:abstractNumId="12" w15:restartNumberingAfterBreak="0">
    <w:nsid w:val="5C3A5F2C"/>
    <w:multiLevelType w:val="multilevel"/>
    <w:tmpl w:val="1E563EE0"/>
    <w:lvl w:ilvl="0">
      <w:start w:val="1"/>
      <w:numFmt w:val="decimal"/>
      <w:lvlText w:val="%1."/>
      <w:lvlJc w:val="left"/>
      <w:pPr>
        <w:tabs>
          <w:tab w:val="num" w:pos="1134"/>
        </w:tabs>
        <w:ind w:left="1134" w:hanging="1134"/>
      </w:pPr>
      <w:rPr>
        <w:rFonts w:ascii="Arial" w:hAnsi="Arial" w:hint="default"/>
        <w:b/>
        <w:i w:val="0"/>
        <w:sz w:val="22"/>
        <w:szCs w:val="22"/>
      </w:rPr>
    </w:lvl>
    <w:lvl w:ilvl="1">
      <w:start w:val="1"/>
      <w:numFmt w:val="decimal"/>
      <w:lvlText w:val="%1.%2"/>
      <w:lvlJc w:val="left"/>
      <w:pPr>
        <w:tabs>
          <w:tab w:val="num" w:pos="1134"/>
        </w:tabs>
        <w:ind w:left="1134" w:hanging="1134"/>
      </w:pPr>
      <w:rPr>
        <w:rFonts w:ascii="Arial" w:hAnsi="Arial" w:hint="default"/>
        <w:b w:val="0"/>
        <w:i w:val="0"/>
        <w:sz w:val="22"/>
        <w:szCs w:val="22"/>
      </w:rPr>
    </w:lvl>
    <w:lvl w:ilvl="2">
      <w:start w:val="1"/>
      <w:numFmt w:val="decimal"/>
      <w:lvlText w:val="%1.%2.%3"/>
      <w:lvlJc w:val="left"/>
      <w:pPr>
        <w:tabs>
          <w:tab w:val="num" w:pos="1134"/>
        </w:tabs>
        <w:ind w:left="1134" w:hanging="1134"/>
      </w:pPr>
      <w:rPr>
        <w:rFonts w:ascii="Arial" w:hAnsi="Arial" w:hint="default"/>
        <w:b w:val="0"/>
        <w:i w:val="0"/>
        <w:sz w:val="22"/>
        <w:szCs w:val="22"/>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365"/>
        </w:tabs>
        <w:ind w:left="1365" w:hanging="136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03F232C"/>
    <w:multiLevelType w:val="multilevel"/>
    <w:tmpl w:val="81C61C38"/>
    <w:lvl w:ilvl="0">
      <w:start w:val="1"/>
      <w:numFmt w:val="decimal"/>
      <w:pStyle w:val="123-listamedindrag"/>
      <w:lvlText w:val="%1."/>
      <w:lvlJc w:val="left"/>
      <w:pPr>
        <w:ind w:left="1843" w:hanging="709"/>
      </w:pPr>
      <w:rPr>
        <w:rFonts w:hint="default"/>
      </w:rPr>
    </w:lvl>
    <w:lvl w:ilvl="1">
      <w:start w:val="1"/>
      <w:numFmt w:val="lowerLetter"/>
      <w:lvlText w:val="%2."/>
      <w:lvlJc w:val="left"/>
      <w:pPr>
        <w:ind w:left="2552"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76020A88"/>
    <w:multiLevelType w:val="multilevel"/>
    <w:tmpl w:val="7C322C6A"/>
    <w:lvl w:ilvl="0">
      <w:start w:val="1"/>
      <w:numFmt w:val="lowerLetter"/>
      <w:pStyle w:val="abc-listamedindrag"/>
      <w:lvlText w:val="%1)"/>
      <w:lvlJc w:val="left"/>
      <w:pPr>
        <w:ind w:left="1843" w:hanging="709"/>
      </w:pPr>
      <w:rPr>
        <w:rFonts w:hint="default"/>
      </w:rPr>
    </w:lvl>
    <w:lvl w:ilvl="1">
      <w:start w:val="1"/>
      <w:numFmt w:val="lowerLetter"/>
      <w:lvlText w:val="%2."/>
      <w:lvlJc w:val="left"/>
      <w:pPr>
        <w:tabs>
          <w:tab w:val="num" w:pos="1985"/>
        </w:tabs>
        <w:ind w:left="2552"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7C830040"/>
    <w:multiLevelType w:val="multilevel"/>
    <w:tmpl w:val="44A264CE"/>
    <w:lvl w:ilvl="0">
      <w:start w:val="1"/>
      <w:numFmt w:val="decimal"/>
      <w:lvlText w:val="%1."/>
      <w:lvlJc w:val="left"/>
      <w:pPr>
        <w:tabs>
          <w:tab w:val="num" w:pos="1134"/>
        </w:tabs>
        <w:ind w:left="1134" w:hanging="1134"/>
      </w:pPr>
      <w:rPr>
        <w:rFonts w:ascii="Arial" w:hAnsi="Arial" w:hint="default"/>
        <w:b/>
        <w:i w:val="0"/>
        <w:sz w:val="22"/>
        <w:szCs w:val="22"/>
      </w:rPr>
    </w:lvl>
    <w:lvl w:ilvl="1">
      <w:start w:val="1"/>
      <w:numFmt w:val="decimal"/>
      <w:lvlText w:val="%1.%2"/>
      <w:lvlJc w:val="left"/>
      <w:pPr>
        <w:tabs>
          <w:tab w:val="num" w:pos="1134"/>
        </w:tabs>
        <w:ind w:left="1134" w:hanging="1134"/>
      </w:pPr>
      <w:rPr>
        <w:rFonts w:ascii="Arial" w:hAnsi="Arial" w:hint="default"/>
        <w:b w:val="0"/>
        <w:i w:val="0"/>
        <w:sz w:val="22"/>
        <w:szCs w:val="22"/>
      </w:rPr>
    </w:lvl>
    <w:lvl w:ilvl="2">
      <w:start w:val="1"/>
      <w:numFmt w:val="decimal"/>
      <w:lvlText w:val="%1.%2.%3"/>
      <w:lvlJc w:val="left"/>
      <w:pPr>
        <w:tabs>
          <w:tab w:val="num" w:pos="1134"/>
        </w:tabs>
        <w:ind w:left="1134" w:hanging="1134"/>
      </w:pPr>
      <w:rPr>
        <w:rFonts w:ascii="Arial" w:hAnsi="Arial" w:hint="default"/>
        <w:b w:val="0"/>
        <w:i w:val="0"/>
        <w:sz w:val="22"/>
        <w:szCs w:val="22"/>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lowerLetter"/>
      <w:lvlText w:val="(%6)"/>
      <w:lvlJc w:val="left"/>
      <w:pPr>
        <w:tabs>
          <w:tab w:val="num" w:pos="1985"/>
        </w:tabs>
        <w:ind w:left="1985" w:hanging="851"/>
      </w:pPr>
      <w:rPr>
        <w:rFonts w:ascii="Arial" w:hAnsi="Arial" w:hint="default"/>
        <w:b w:val="0"/>
        <w:i w:val="0"/>
        <w:sz w:val="22"/>
      </w:rPr>
    </w:lvl>
    <w:lvl w:ilvl="6">
      <w:start w:val="1"/>
      <w:numFmt w:val="lowerRoman"/>
      <w:lvlText w:val="(%7)"/>
      <w:lvlJc w:val="left"/>
      <w:pPr>
        <w:tabs>
          <w:tab w:val="num" w:pos="1985"/>
        </w:tabs>
        <w:ind w:left="1985" w:hanging="851"/>
      </w:pPr>
      <w:rPr>
        <w:rFonts w:ascii="Arial" w:hAnsi="Arial" w:hint="default"/>
        <w:b w:val="0"/>
        <w:i w:val="0"/>
        <w:sz w:val="22"/>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9"/>
  </w:num>
  <w:num w:numId="3">
    <w:abstractNumId w:val="1"/>
  </w:num>
  <w:num w:numId="4">
    <w:abstractNumId w:val="2"/>
  </w:num>
  <w:num w:numId="5">
    <w:abstractNumId w:val="6"/>
  </w:num>
  <w:num w:numId="6">
    <w:abstractNumId w:val="15"/>
  </w:num>
  <w:num w:numId="7">
    <w:abstractNumId w:val="12"/>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0"/>
  </w:num>
  <w:num w:numId="34">
    <w:abstractNumId w:val="13"/>
  </w:num>
  <w:num w:numId="35">
    <w:abstractNumId w:val="4"/>
  </w:num>
  <w:num w:numId="36">
    <w:abstractNumId w:val="14"/>
  </w:num>
  <w:num w:numId="37">
    <w:abstractNumId w:val="7"/>
  </w:num>
  <w:num w:numId="38">
    <w:abstractNumId w:val="0"/>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rsids>
    <w:rsidRoot w:val="00DD7228"/>
    <w:rsid w:val="0000531D"/>
    <w:rsid w:val="00022D3B"/>
    <w:rsid w:val="00095E2A"/>
    <w:rsid w:val="000C23B0"/>
    <w:rsid w:val="000D34E1"/>
    <w:rsid w:val="000E4B58"/>
    <w:rsid w:val="00107374"/>
    <w:rsid w:val="001D3FC1"/>
    <w:rsid w:val="001D47A4"/>
    <w:rsid w:val="0020264F"/>
    <w:rsid w:val="00206A5C"/>
    <w:rsid w:val="00216DF1"/>
    <w:rsid w:val="002305CD"/>
    <w:rsid w:val="0023072A"/>
    <w:rsid w:val="002432C1"/>
    <w:rsid w:val="0026373B"/>
    <w:rsid w:val="00287F79"/>
    <w:rsid w:val="002B5EC7"/>
    <w:rsid w:val="002F6081"/>
    <w:rsid w:val="003316E0"/>
    <w:rsid w:val="00333BE6"/>
    <w:rsid w:val="00340DC2"/>
    <w:rsid w:val="00355536"/>
    <w:rsid w:val="00361431"/>
    <w:rsid w:val="00386739"/>
    <w:rsid w:val="00397C0C"/>
    <w:rsid w:val="003E6E5C"/>
    <w:rsid w:val="00410720"/>
    <w:rsid w:val="00420C8B"/>
    <w:rsid w:val="00453294"/>
    <w:rsid w:val="004A3D8A"/>
    <w:rsid w:val="004A60BB"/>
    <w:rsid w:val="004C58E1"/>
    <w:rsid w:val="004D6B36"/>
    <w:rsid w:val="005168D8"/>
    <w:rsid w:val="00537913"/>
    <w:rsid w:val="005400E7"/>
    <w:rsid w:val="00541CC4"/>
    <w:rsid w:val="0055671A"/>
    <w:rsid w:val="00556A39"/>
    <w:rsid w:val="005963B8"/>
    <w:rsid w:val="005B080A"/>
    <w:rsid w:val="00603404"/>
    <w:rsid w:val="00607BA4"/>
    <w:rsid w:val="00636473"/>
    <w:rsid w:val="00641FB0"/>
    <w:rsid w:val="006D5A21"/>
    <w:rsid w:val="006E64E3"/>
    <w:rsid w:val="0072533B"/>
    <w:rsid w:val="0073741B"/>
    <w:rsid w:val="007B6A04"/>
    <w:rsid w:val="007D24D8"/>
    <w:rsid w:val="007F70A5"/>
    <w:rsid w:val="0083537A"/>
    <w:rsid w:val="00867B4D"/>
    <w:rsid w:val="00871046"/>
    <w:rsid w:val="008B5940"/>
    <w:rsid w:val="009B2324"/>
    <w:rsid w:val="009E6A42"/>
    <w:rsid w:val="00A05DC1"/>
    <w:rsid w:val="00A1521B"/>
    <w:rsid w:val="00A439B7"/>
    <w:rsid w:val="00A65D0A"/>
    <w:rsid w:val="00AC141D"/>
    <w:rsid w:val="00AC4D1E"/>
    <w:rsid w:val="00AF5DBB"/>
    <w:rsid w:val="00B24381"/>
    <w:rsid w:val="00B32BD0"/>
    <w:rsid w:val="00B44118"/>
    <w:rsid w:val="00BA48D5"/>
    <w:rsid w:val="00BB2C3F"/>
    <w:rsid w:val="00BD02BC"/>
    <w:rsid w:val="00BF75D9"/>
    <w:rsid w:val="00C12E5C"/>
    <w:rsid w:val="00C30A27"/>
    <w:rsid w:val="00C54458"/>
    <w:rsid w:val="00C6471A"/>
    <w:rsid w:val="00D03800"/>
    <w:rsid w:val="00D77199"/>
    <w:rsid w:val="00D83EE7"/>
    <w:rsid w:val="00DD7228"/>
    <w:rsid w:val="00DF73CD"/>
    <w:rsid w:val="00E02F62"/>
    <w:rsid w:val="00E4349B"/>
    <w:rsid w:val="00E65B07"/>
    <w:rsid w:val="00EB2161"/>
    <w:rsid w:val="00ED7FD5"/>
    <w:rsid w:val="00EF3BFB"/>
    <w:rsid w:val="00EF790C"/>
    <w:rsid w:val="00FB3584"/>
    <w:rsid w:val="00FC63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7C9F8C9"/>
  <w15:chartTrackingRefBased/>
  <w15:docId w15:val="{831EB2B7-CE15-4457-ABBB-1F54CEBEC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DD7228"/>
    <w:pPr>
      <w:spacing w:before="240"/>
    </w:pPr>
    <w:rPr>
      <w:rFonts w:ascii="Calibri" w:eastAsiaTheme="minorHAnsi" w:hAnsi="Calibri" w:cstheme="minorBidi"/>
      <w:sz w:val="22"/>
      <w:szCs w:val="22"/>
      <w:lang w:eastAsia="en-US"/>
    </w:rPr>
  </w:style>
  <w:style w:type="paragraph" w:styleId="Heading1">
    <w:name w:val="heading 1"/>
    <w:basedOn w:val="Normal"/>
    <w:next w:val="BodyText"/>
    <w:link w:val="Heading1Char"/>
    <w:qFormat/>
    <w:rsid w:val="00DF73CD"/>
    <w:pPr>
      <w:keepNext/>
      <w:numPr>
        <w:numId w:val="32"/>
      </w:numPr>
      <w:tabs>
        <w:tab w:val="left" w:pos="1134"/>
      </w:tabs>
      <w:spacing w:before="360" w:after="240"/>
      <w:outlineLvl w:val="0"/>
    </w:pPr>
    <w:rPr>
      <w:b/>
      <w:bCs/>
      <w:kern w:val="32"/>
      <w:sz w:val="26"/>
      <w:szCs w:val="32"/>
    </w:rPr>
  </w:style>
  <w:style w:type="paragraph" w:styleId="Heading2">
    <w:name w:val="heading 2"/>
    <w:basedOn w:val="BodyText"/>
    <w:next w:val="BodyText"/>
    <w:link w:val="Heading2Char"/>
    <w:qFormat/>
    <w:rsid w:val="004A60BB"/>
    <w:pPr>
      <w:outlineLvl w:val="1"/>
    </w:pPr>
    <w:rPr>
      <w:b/>
    </w:rPr>
  </w:style>
  <w:style w:type="paragraph" w:styleId="Heading3">
    <w:name w:val="heading 3"/>
    <w:basedOn w:val="Heading2"/>
    <w:next w:val="BodyText"/>
    <w:link w:val="Heading3Char"/>
    <w:qFormat/>
    <w:rsid w:val="00DF73CD"/>
    <w:pPr>
      <w:outlineLvl w:val="2"/>
    </w:pPr>
    <w:rPr>
      <w:b w:val="0"/>
      <w:u w:val="single"/>
    </w:rPr>
  </w:style>
  <w:style w:type="paragraph" w:styleId="Heading4">
    <w:name w:val="heading 4"/>
    <w:basedOn w:val="Heading3"/>
    <w:next w:val="BodyText"/>
    <w:link w:val="Heading4Char"/>
    <w:qFormat/>
    <w:rsid w:val="00DF73CD"/>
    <w:pPr>
      <w:outlineLvl w:val="3"/>
    </w:pPr>
    <w:rPr>
      <w:i/>
      <w:u w:val="none"/>
    </w:rPr>
  </w:style>
  <w:style w:type="paragraph" w:styleId="Heading5">
    <w:name w:val="heading 5"/>
    <w:basedOn w:val="Normal"/>
    <w:link w:val="Heading5Char"/>
    <w:qFormat/>
    <w:rsid w:val="00ED7FD5"/>
    <w:pPr>
      <w:numPr>
        <w:ilvl w:val="4"/>
        <w:numId w:val="16"/>
      </w:numPr>
      <w:spacing w:before="120" w:after="180"/>
      <w:outlineLvl w:val="4"/>
    </w:pPr>
    <w:rPr>
      <w:bCs/>
      <w:iCs/>
      <w:szCs w:val="26"/>
    </w:rPr>
  </w:style>
  <w:style w:type="paragraph" w:styleId="Heading6">
    <w:name w:val="heading 6"/>
    <w:basedOn w:val="Heading5"/>
    <w:link w:val="Heading6Char"/>
    <w:qFormat/>
    <w:rsid w:val="00ED7FD5"/>
    <w:pPr>
      <w:numPr>
        <w:ilvl w:val="5"/>
      </w:numPr>
      <w:outlineLvl w:val="5"/>
    </w:pPr>
    <w:rPr>
      <w:bCs w:val="0"/>
      <w:szCs w:val="22"/>
    </w:rPr>
  </w:style>
  <w:style w:type="paragraph" w:styleId="Heading7">
    <w:name w:val="heading 7"/>
    <w:basedOn w:val="Heading6"/>
    <w:link w:val="Heading7Char"/>
    <w:qFormat/>
    <w:rsid w:val="00ED7FD5"/>
    <w:pPr>
      <w:numPr>
        <w:ilvl w:val="6"/>
      </w:numPr>
      <w:outlineLvl w:val="6"/>
    </w:pPr>
  </w:style>
  <w:style w:type="paragraph" w:styleId="Heading8">
    <w:name w:val="heading 8"/>
    <w:basedOn w:val="Normal"/>
    <w:next w:val="Normal"/>
    <w:link w:val="Heading8Char"/>
    <w:semiHidden/>
    <w:unhideWhenUsed/>
    <w:qFormat/>
    <w:rsid w:val="00ED7FD5"/>
    <w:pPr>
      <w:numPr>
        <w:ilvl w:val="7"/>
        <w:numId w:val="16"/>
      </w:numPr>
      <w:spacing w:after="60"/>
      <w:outlineLvl w:val="7"/>
    </w:pPr>
    <w:rPr>
      <w:i/>
      <w:iCs/>
    </w:rPr>
  </w:style>
  <w:style w:type="paragraph" w:styleId="Heading9">
    <w:name w:val="heading 9"/>
    <w:basedOn w:val="Normal"/>
    <w:next w:val="Normal"/>
    <w:link w:val="Heading9Char"/>
    <w:semiHidden/>
    <w:unhideWhenUsed/>
    <w:qFormat/>
    <w:rsid w:val="00ED7FD5"/>
    <w:pPr>
      <w:numPr>
        <w:ilvl w:val="8"/>
        <w:numId w:val="16"/>
      </w:numPr>
      <w:spacing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reradtext1">
    <w:name w:val="Numrerad text 1"/>
    <w:basedOn w:val="Normal"/>
    <w:rsid w:val="00ED7FD5"/>
  </w:style>
  <w:style w:type="paragraph" w:styleId="BodyText">
    <w:name w:val="Body Text"/>
    <w:basedOn w:val="Heading1"/>
    <w:link w:val="BodyTextChar"/>
    <w:qFormat/>
    <w:rsid w:val="00DF73CD"/>
    <w:pPr>
      <w:keepNext w:val="0"/>
      <w:numPr>
        <w:ilvl w:val="1"/>
      </w:numPr>
      <w:spacing w:before="120" w:after="180"/>
      <w:outlineLvl w:val="9"/>
    </w:pPr>
    <w:rPr>
      <w:b w:val="0"/>
      <w:sz w:val="24"/>
      <w:szCs w:val="24"/>
    </w:rPr>
  </w:style>
  <w:style w:type="character" w:customStyle="1" w:styleId="BodyTextChar">
    <w:name w:val="Body Text Char"/>
    <w:basedOn w:val="DefaultParagraphFont"/>
    <w:link w:val="BodyText"/>
    <w:rsid w:val="009B2324"/>
    <w:rPr>
      <w:rFonts w:ascii="Calibri" w:hAnsi="Calibri" w:cs="Arial"/>
      <w:bCs/>
      <w:kern w:val="32"/>
      <w:sz w:val="24"/>
      <w:szCs w:val="24"/>
    </w:rPr>
  </w:style>
  <w:style w:type="character" w:customStyle="1" w:styleId="Heading1Char">
    <w:name w:val="Heading 1 Char"/>
    <w:basedOn w:val="DefaultParagraphFont"/>
    <w:link w:val="Heading1"/>
    <w:rsid w:val="00ED7FD5"/>
    <w:rPr>
      <w:rFonts w:ascii="Calibri" w:hAnsi="Calibri" w:cs="Arial"/>
      <w:b/>
      <w:bCs/>
      <w:kern w:val="32"/>
      <w:sz w:val="26"/>
      <w:szCs w:val="32"/>
    </w:rPr>
  </w:style>
  <w:style w:type="character" w:customStyle="1" w:styleId="Heading2Char">
    <w:name w:val="Heading 2 Char"/>
    <w:basedOn w:val="DefaultParagraphFont"/>
    <w:link w:val="Heading2"/>
    <w:rsid w:val="004A60BB"/>
    <w:rPr>
      <w:rFonts w:ascii="Calibri" w:hAnsi="Calibri" w:cs="Arial"/>
      <w:b/>
      <w:bCs/>
      <w:kern w:val="32"/>
      <w:sz w:val="24"/>
      <w:szCs w:val="24"/>
    </w:rPr>
  </w:style>
  <w:style w:type="character" w:customStyle="1" w:styleId="Heading3Char">
    <w:name w:val="Heading 3 Char"/>
    <w:basedOn w:val="DefaultParagraphFont"/>
    <w:link w:val="Heading3"/>
    <w:rsid w:val="00ED7FD5"/>
    <w:rPr>
      <w:rFonts w:ascii="Calibri" w:hAnsi="Calibri" w:cs="Arial"/>
      <w:bCs/>
      <w:kern w:val="32"/>
      <w:sz w:val="24"/>
      <w:szCs w:val="24"/>
      <w:u w:val="single"/>
    </w:rPr>
  </w:style>
  <w:style w:type="character" w:customStyle="1" w:styleId="Heading4Char">
    <w:name w:val="Heading 4 Char"/>
    <w:basedOn w:val="DefaultParagraphFont"/>
    <w:link w:val="Heading4"/>
    <w:rsid w:val="00ED7FD5"/>
    <w:rPr>
      <w:rFonts w:ascii="Calibri" w:hAnsi="Calibri" w:cs="Arial"/>
      <w:bCs/>
      <w:i/>
      <w:kern w:val="32"/>
      <w:sz w:val="24"/>
      <w:szCs w:val="24"/>
    </w:rPr>
  </w:style>
  <w:style w:type="character" w:customStyle="1" w:styleId="Heading5Char">
    <w:name w:val="Heading 5 Char"/>
    <w:basedOn w:val="DefaultParagraphFont"/>
    <w:link w:val="Heading5"/>
    <w:rsid w:val="00ED7FD5"/>
    <w:rPr>
      <w:rFonts w:ascii="Calibri" w:hAnsi="Calibri"/>
      <w:bCs/>
      <w:iCs/>
      <w:sz w:val="22"/>
      <w:szCs w:val="26"/>
    </w:rPr>
  </w:style>
  <w:style w:type="character" w:customStyle="1" w:styleId="Heading6Char">
    <w:name w:val="Heading 6 Char"/>
    <w:basedOn w:val="DefaultParagraphFont"/>
    <w:link w:val="Heading6"/>
    <w:rsid w:val="00ED7FD5"/>
    <w:rPr>
      <w:rFonts w:ascii="Calibri" w:hAnsi="Calibri"/>
      <w:iCs/>
      <w:sz w:val="22"/>
      <w:szCs w:val="22"/>
    </w:rPr>
  </w:style>
  <w:style w:type="character" w:customStyle="1" w:styleId="Heading7Char">
    <w:name w:val="Heading 7 Char"/>
    <w:basedOn w:val="DefaultParagraphFont"/>
    <w:link w:val="Heading7"/>
    <w:rsid w:val="00ED7FD5"/>
    <w:rPr>
      <w:rFonts w:ascii="Calibri" w:hAnsi="Calibri"/>
      <w:iCs/>
      <w:sz w:val="22"/>
      <w:szCs w:val="22"/>
    </w:rPr>
  </w:style>
  <w:style w:type="character" w:customStyle="1" w:styleId="Heading8Char">
    <w:name w:val="Heading 8 Char"/>
    <w:basedOn w:val="DefaultParagraphFont"/>
    <w:link w:val="Heading8"/>
    <w:semiHidden/>
    <w:rsid w:val="00ED7FD5"/>
    <w:rPr>
      <w:rFonts w:ascii="Calibri" w:hAnsi="Calibri"/>
      <w:i/>
      <w:iCs/>
      <w:sz w:val="21"/>
      <w:szCs w:val="24"/>
    </w:rPr>
  </w:style>
  <w:style w:type="character" w:customStyle="1" w:styleId="Heading9Char">
    <w:name w:val="Heading 9 Char"/>
    <w:basedOn w:val="DefaultParagraphFont"/>
    <w:link w:val="Heading9"/>
    <w:semiHidden/>
    <w:rsid w:val="00ED7FD5"/>
    <w:rPr>
      <w:rFonts w:ascii="Cambria" w:hAnsi="Cambria"/>
      <w:sz w:val="22"/>
      <w:szCs w:val="22"/>
    </w:rPr>
  </w:style>
  <w:style w:type="paragraph" w:styleId="Header">
    <w:name w:val="header"/>
    <w:basedOn w:val="Normal"/>
    <w:rsid w:val="00ED7FD5"/>
    <w:pPr>
      <w:tabs>
        <w:tab w:val="center" w:pos="4536"/>
        <w:tab w:val="right" w:pos="9072"/>
      </w:tabs>
    </w:pPr>
  </w:style>
  <w:style w:type="paragraph" w:styleId="Footer">
    <w:name w:val="footer"/>
    <w:basedOn w:val="Normal"/>
    <w:link w:val="FooterChar"/>
    <w:rsid w:val="00BD02BC"/>
    <w:pPr>
      <w:tabs>
        <w:tab w:val="center" w:pos="4536"/>
        <w:tab w:val="right" w:pos="9072"/>
      </w:tabs>
    </w:pPr>
  </w:style>
  <w:style w:type="character" w:styleId="PageNumber">
    <w:name w:val="page number"/>
    <w:basedOn w:val="DefaultParagraphFont"/>
    <w:rsid w:val="00ED7FD5"/>
  </w:style>
  <w:style w:type="paragraph" w:customStyle="1" w:styleId="ID">
    <w:name w:val="ID"/>
    <w:basedOn w:val="Normal"/>
    <w:qFormat/>
    <w:rsid w:val="00410720"/>
    <w:rPr>
      <w:noProof/>
      <w:sz w:val="11"/>
    </w:rPr>
  </w:style>
  <w:style w:type="paragraph" w:customStyle="1" w:styleId="Huvudrubrik">
    <w:name w:val="Huvudrubrik"/>
    <w:basedOn w:val="Normal"/>
    <w:next w:val="Normal"/>
    <w:qFormat/>
    <w:rsid w:val="00ED7FD5"/>
    <w:pPr>
      <w:spacing w:after="100"/>
    </w:pPr>
    <w:rPr>
      <w:b/>
      <w:sz w:val="32"/>
    </w:rPr>
  </w:style>
  <w:style w:type="paragraph" w:customStyle="1" w:styleId="Ledtext">
    <w:name w:val="Ledtext"/>
    <w:basedOn w:val="Normal"/>
    <w:qFormat/>
    <w:rsid w:val="00ED7FD5"/>
    <w:rPr>
      <w:b/>
    </w:rPr>
  </w:style>
  <w:style w:type="paragraph" w:customStyle="1" w:styleId="rendemening">
    <w:name w:val="Ärendemening"/>
    <w:basedOn w:val="Normal"/>
    <w:qFormat/>
    <w:rsid w:val="00DF73CD"/>
    <w:pPr>
      <w:spacing w:after="240"/>
    </w:pPr>
    <w:rPr>
      <w:b/>
      <w:sz w:val="26"/>
      <w:szCs w:val="26"/>
    </w:rPr>
  </w:style>
  <w:style w:type="paragraph" w:customStyle="1" w:styleId="DOKUMENTRUBRIK">
    <w:name w:val="DOKUMENTRUBRIK"/>
    <w:basedOn w:val="Normal"/>
    <w:qFormat/>
    <w:rsid w:val="00DF73CD"/>
    <w:pPr>
      <w:spacing w:before="40" w:after="360"/>
    </w:pPr>
    <w:rPr>
      <w:b/>
      <w:caps/>
      <w:sz w:val="32"/>
      <w:szCs w:val="32"/>
    </w:rPr>
  </w:style>
  <w:style w:type="paragraph" w:customStyle="1" w:styleId="OnumreradBodyText">
    <w:name w:val="Onumrerad Body Text"/>
    <w:basedOn w:val="BodyText"/>
    <w:qFormat/>
    <w:rsid w:val="00DF73CD"/>
    <w:pPr>
      <w:numPr>
        <w:ilvl w:val="0"/>
        <w:numId w:val="0"/>
      </w:numPr>
      <w:ind w:left="1134"/>
    </w:pPr>
    <w:rPr>
      <w:lang w:val="en-US"/>
    </w:rPr>
  </w:style>
  <w:style w:type="character" w:customStyle="1" w:styleId="FooterChar">
    <w:name w:val="Footer Char"/>
    <w:basedOn w:val="DefaultParagraphFont"/>
    <w:link w:val="Footer"/>
    <w:rsid w:val="00420C8B"/>
    <w:rPr>
      <w:rFonts w:ascii="Calibri" w:hAnsi="Calibri" w:cs="Arial"/>
      <w:sz w:val="24"/>
      <w:szCs w:val="24"/>
    </w:rPr>
  </w:style>
  <w:style w:type="paragraph" w:styleId="BalloonText">
    <w:name w:val="Balloon Text"/>
    <w:basedOn w:val="Normal"/>
    <w:link w:val="BalloonTextChar"/>
    <w:rsid w:val="00361431"/>
    <w:rPr>
      <w:rFonts w:ascii="Tahoma" w:hAnsi="Tahoma" w:cs="Tahoma"/>
      <w:sz w:val="16"/>
      <w:szCs w:val="16"/>
    </w:rPr>
  </w:style>
  <w:style w:type="character" w:customStyle="1" w:styleId="BalloonTextChar">
    <w:name w:val="Balloon Text Char"/>
    <w:basedOn w:val="DefaultParagraphFont"/>
    <w:link w:val="BalloonText"/>
    <w:rsid w:val="00361431"/>
    <w:rPr>
      <w:rFonts w:ascii="Tahoma" w:hAnsi="Tahoma" w:cs="Tahoma"/>
      <w:sz w:val="16"/>
      <w:szCs w:val="16"/>
    </w:rPr>
  </w:style>
  <w:style w:type="paragraph" w:customStyle="1" w:styleId="123-lista">
    <w:name w:val="1 2 3-lista"/>
    <w:basedOn w:val="ListParagraph"/>
    <w:qFormat/>
    <w:rsid w:val="0026373B"/>
    <w:pPr>
      <w:numPr>
        <w:numId w:val="33"/>
      </w:numPr>
      <w:tabs>
        <w:tab w:val="left" w:pos="1134"/>
      </w:tabs>
      <w:spacing w:after="120"/>
      <w:contextualSpacing w:val="0"/>
    </w:pPr>
    <w:rPr>
      <w:rFonts w:cs="Times New Roman"/>
    </w:rPr>
  </w:style>
  <w:style w:type="paragraph" w:styleId="ListParagraph">
    <w:name w:val="List Paragraph"/>
    <w:basedOn w:val="Normal"/>
    <w:uiPriority w:val="34"/>
    <w:qFormat/>
    <w:rsid w:val="0026373B"/>
    <w:pPr>
      <w:ind w:left="720"/>
      <w:contextualSpacing/>
    </w:pPr>
  </w:style>
  <w:style w:type="paragraph" w:customStyle="1" w:styleId="123-listamedindrag">
    <w:name w:val="1 2 3-lista med indrag"/>
    <w:basedOn w:val="123-lista"/>
    <w:qFormat/>
    <w:rsid w:val="0026373B"/>
    <w:pPr>
      <w:numPr>
        <w:numId w:val="34"/>
      </w:numPr>
      <w:tabs>
        <w:tab w:val="clear" w:pos="1134"/>
        <w:tab w:val="left" w:pos="1843"/>
      </w:tabs>
    </w:pPr>
  </w:style>
  <w:style w:type="paragraph" w:customStyle="1" w:styleId="abc-lista">
    <w:name w:val="abc-lista"/>
    <w:basedOn w:val="ListParagraph"/>
    <w:rsid w:val="0026373B"/>
    <w:pPr>
      <w:numPr>
        <w:numId w:val="35"/>
      </w:numPr>
      <w:tabs>
        <w:tab w:val="left" w:pos="1134"/>
      </w:tabs>
      <w:spacing w:after="120"/>
      <w:contextualSpacing w:val="0"/>
    </w:pPr>
    <w:rPr>
      <w:rFonts w:cs="Times New Roman"/>
    </w:rPr>
  </w:style>
  <w:style w:type="paragraph" w:customStyle="1" w:styleId="abc-listamedindrag">
    <w:name w:val="abc-lista med indrag"/>
    <w:basedOn w:val="abc-lista"/>
    <w:qFormat/>
    <w:rsid w:val="0026373B"/>
    <w:pPr>
      <w:numPr>
        <w:numId w:val="36"/>
      </w:numPr>
      <w:tabs>
        <w:tab w:val="clear" w:pos="1134"/>
        <w:tab w:val="left" w:pos="1843"/>
      </w:tabs>
    </w:pPr>
  </w:style>
  <w:style w:type="paragraph" w:customStyle="1" w:styleId="IIIIII-lista">
    <w:name w:val="I II III-lista"/>
    <w:basedOn w:val="ListParagraph"/>
    <w:qFormat/>
    <w:rsid w:val="0026373B"/>
    <w:pPr>
      <w:numPr>
        <w:numId w:val="37"/>
      </w:numPr>
      <w:tabs>
        <w:tab w:val="left" w:pos="1134"/>
      </w:tabs>
      <w:spacing w:after="120"/>
      <w:contextualSpacing w:val="0"/>
    </w:pPr>
    <w:rPr>
      <w:rFonts w:cs="Times New Roman"/>
    </w:rPr>
  </w:style>
  <w:style w:type="paragraph" w:customStyle="1" w:styleId="IIIIII-listamedindrag">
    <w:name w:val="I II III-lista med indrag"/>
    <w:basedOn w:val="IIIIII-lista"/>
    <w:qFormat/>
    <w:rsid w:val="0026373B"/>
    <w:pPr>
      <w:numPr>
        <w:numId w:val="38"/>
      </w:numPr>
      <w:tabs>
        <w:tab w:val="clear" w:pos="1134"/>
        <w:tab w:val="left" w:pos="1843"/>
      </w:tabs>
    </w:pPr>
  </w:style>
  <w:style w:type="paragraph" w:customStyle="1" w:styleId="Normalmedextraavstnd">
    <w:name w:val="Normal med extra avstånd"/>
    <w:basedOn w:val="Normal"/>
    <w:qFormat/>
    <w:rsid w:val="0026373B"/>
    <w:pPr>
      <w:spacing w:after="120"/>
    </w:pPr>
  </w:style>
  <w:style w:type="paragraph" w:customStyle="1" w:styleId="Rubrik1Onumrerad">
    <w:name w:val="Rubrik 1 Onumrerad"/>
    <w:basedOn w:val="Heading1"/>
    <w:next w:val="Normal"/>
    <w:rsid w:val="0026373B"/>
    <w:pPr>
      <w:numPr>
        <w:numId w:val="0"/>
      </w:numPr>
      <w:tabs>
        <w:tab w:val="clear" w:pos="1134"/>
      </w:tabs>
      <w:spacing w:before="120" w:after="180"/>
    </w:pPr>
    <w:rPr>
      <w:rFonts w:cs="Times New Roman"/>
      <w:szCs w:val="20"/>
    </w:rPr>
  </w:style>
  <w:style w:type="paragraph" w:customStyle="1" w:styleId="Rubrik2Onumrerad">
    <w:name w:val="Rubrik 2 Onumrerad"/>
    <w:basedOn w:val="Heading2"/>
    <w:next w:val="Normal"/>
    <w:rsid w:val="0026373B"/>
    <w:pPr>
      <w:numPr>
        <w:ilvl w:val="0"/>
        <w:numId w:val="0"/>
      </w:numPr>
    </w:pPr>
    <w:rPr>
      <w:rFonts w:cs="Times New Roman"/>
      <w:bCs w:val="0"/>
      <w:szCs w:val="20"/>
    </w:rPr>
  </w:style>
  <w:style w:type="paragraph" w:customStyle="1" w:styleId="Rubrik3Onumrerad">
    <w:name w:val="Rubrik 3 Onumrerad"/>
    <w:basedOn w:val="Heading3"/>
    <w:next w:val="Normal"/>
    <w:qFormat/>
    <w:rsid w:val="0026373B"/>
    <w:pPr>
      <w:numPr>
        <w:ilvl w:val="0"/>
        <w:numId w:val="0"/>
      </w:numPr>
    </w:pPr>
  </w:style>
  <w:style w:type="paragraph" w:customStyle="1" w:styleId="Rubrik4Onumrerad">
    <w:name w:val="Rubrik 4 Onumrerad"/>
    <w:basedOn w:val="Heading4"/>
    <w:next w:val="Normal"/>
    <w:qFormat/>
    <w:rsid w:val="0026373B"/>
    <w:pPr>
      <w:numPr>
        <w:ilvl w:val="0"/>
        <w:numId w:val="0"/>
      </w:numPr>
    </w:pPr>
  </w:style>
  <w:style w:type="character" w:styleId="CommentReference">
    <w:name w:val="annotation reference"/>
    <w:basedOn w:val="DefaultParagraphFont"/>
    <w:semiHidden/>
    <w:unhideWhenUsed/>
    <w:rsid w:val="0073741B"/>
    <w:rPr>
      <w:sz w:val="16"/>
      <w:szCs w:val="16"/>
    </w:rPr>
  </w:style>
  <w:style w:type="paragraph" w:styleId="CommentText">
    <w:name w:val="annotation text"/>
    <w:basedOn w:val="Normal"/>
    <w:link w:val="CommentTextChar"/>
    <w:semiHidden/>
    <w:unhideWhenUsed/>
    <w:rsid w:val="0073741B"/>
    <w:rPr>
      <w:sz w:val="20"/>
      <w:szCs w:val="20"/>
    </w:rPr>
  </w:style>
  <w:style w:type="character" w:customStyle="1" w:styleId="CommentTextChar">
    <w:name w:val="Comment Text Char"/>
    <w:basedOn w:val="DefaultParagraphFont"/>
    <w:link w:val="CommentText"/>
    <w:semiHidden/>
    <w:rsid w:val="0073741B"/>
    <w:rPr>
      <w:rFonts w:ascii="Calibri" w:eastAsiaTheme="minorHAnsi" w:hAnsi="Calibri" w:cstheme="minorBidi"/>
      <w:lang w:eastAsia="en-US"/>
    </w:rPr>
  </w:style>
  <w:style w:type="paragraph" w:styleId="CommentSubject">
    <w:name w:val="annotation subject"/>
    <w:basedOn w:val="CommentText"/>
    <w:next w:val="CommentText"/>
    <w:link w:val="CommentSubjectChar"/>
    <w:semiHidden/>
    <w:unhideWhenUsed/>
    <w:rsid w:val="0073741B"/>
    <w:rPr>
      <w:b/>
      <w:bCs/>
    </w:rPr>
  </w:style>
  <w:style w:type="character" w:customStyle="1" w:styleId="CommentSubjectChar">
    <w:name w:val="Comment Subject Char"/>
    <w:basedOn w:val="CommentTextChar"/>
    <w:link w:val="CommentSubject"/>
    <w:semiHidden/>
    <w:rsid w:val="0073741B"/>
    <w:rPr>
      <w:rFonts w:ascii="Calibri" w:eastAsiaTheme="minorHAnsi" w:hAnsi="Calibr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s>
</file>

<file path=word/theme/theme1.xml><?xml version="1.0" encoding="utf-8"?>
<a:theme xmlns:a="http://schemas.openxmlformats.org/drawingml/2006/main" name="Delphi-tema">
  <a:themeElements>
    <a:clrScheme name="Delphi">
      <a:dk1>
        <a:sysClr val="windowText" lastClr="000000"/>
      </a:dk1>
      <a:lt1>
        <a:sysClr val="window" lastClr="FFFFFF"/>
      </a:lt1>
      <a:dk2>
        <a:srgbClr val="000000"/>
      </a:dk2>
      <a:lt2>
        <a:srgbClr val="E9E4DB"/>
      </a:lt2>
      <a:accent1>
        <a:srgbClr val="1EBED2"/>
      </a:accent1>
      <a:accent2>
        <a:srgbClr val="DF491E"/>
      </a:accent2>
      <a:accent3>
        <a:srgbClr val="145E63"/>
      </a:accent3>
      <a:accent4>
        <a:srgbClr val="AAD0DC"/>
      </a:accent4>
      <a:accent5>
        <a:srgbClr val="1EBED2"/>
      </a:accent5>
      <a:accent6>
        <a:srgbClr val="145E63"/>
      </a:accent6>
      <a:hlink>
        <a:srgbClr val="0563C1"/>
      </a:hlink>
      <a:folHlink>
        <a:srgbClr val="954F72"/>
      </a:folHlink>
    </a:clrScheme>
    <a:fontScheme name="Delph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7B4C24AC-4AD7-4651-8D13-BC5C52028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1429</Words>
  <Characters>8491</Characters>
  <Application>Microsoft Office Word</Application>
  <DocSecurity>0</DocSecurity>
  <Lines>173</Lines>
  <Paragraphs>128</Paragraphs>
  <ScaleCrop>false</ScaleCrop>
  <HeadingPairs>
    <vt:vector size="2" baseType="variant">
      <vt:variant>
        <vt:lpstr>Title</vt:lpstr>
      </vt:variant>
      <vt:variant>
        <vt:i4>1</vt:i4>
      </vt:variant>
    </vt:vector>
  </HeadingPairs>
  <Company/>
  <LinksUpToDate>false</LinksUpToDate>
  <CharactersWithSpaces>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2022-03-15T19:58:00Z</dcterms:created>
  <dcterms:modified xsi:type="dcterms:W3CDTF">2022-03-15T19:58:00Z</dcterms:modified>
</cp:coreProperties>
</file>